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7"/>
      <w:bookmarkEnd w:id="0"/>
      <w:bookmarkStart w:id="1" w:name="_Hlt450066085"/>
      <w:bookmarkEnd w:id="1"/>
      <w:bookmarkStart w:id="2" w:name="_Hlt448930105"/>
      <w:bookmarkEnd w:id="2"/>
      <w:bookmarkStart w:id="3" w:name="_Hlt449016246"/>
      <w:bookmarkEnd w:id="3"/>
      <w:bookmarkStart w:id="4" w:name="_Hlt450051172"/>
      <w:bookmarkEnd w:id="4"/>
      <w:bookmarkStart w:id="5" w:name="_Hlt450039480"/>
      <w:bookmarkEnd w:id="5"/>
      <w:bookmarkStart w:id="6" w:name="OLE_LINK27"/>
      <w:bookmarkStart w:id="7" w:name="OLE_LINK49"/>
      <w:bookmarkStart w:id="8" w:name="OLE_LINK111"/>
      <w:r>
        <w:rPr>
          <w:b/>
          <w:sz w:val="24"/>
        </w:rPr>
        <w:t>3GPP TSG-RAN WG4 Meeting #</w:t>
      </w:r>
      <w:r>
        <w:rPr>
          <w:rFonts w:hint="eastAsia"/>
          <w:b/>
          <w:sz w:val="24"/>
        </w:rPr>
        <w:t>117</w:t>
      </w:r>
      <w:r>
        <w:rPr>
          <w:b/>
          <w:sz w:val="24"/>
        </w:rPr>
        <w:tab/>
      </w:r>
      <w:r>
        <w:rPr>
          <w:b/>
          <w:sz w:val="24"/>
        </w:rPr>
        <w:t>R4-25</w:t>
      </w:r>
      <w:r>
        <w:rPr>
          <w:rFonts w:hint="eastAsia" w:eastAsia="宋体"/>
          <w:b/>
          <w:sz w:val="24"/>
          <w:lang w:val="en-US" w:eastAsia="zh-CN"/>
        </w:rPr>
        <w:t>21059</w:t>
      </w:r>
    </w:p>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b/>
          <w:sz w:val="24"/>
        </w:rPr>
      </w:pPr>
      <w:r>
        <w:rPr>
          <w:rFonts w:hint="eastAsia"/>
          <w:b/>
          <w:sz w:val="24"/>
        </w:rPr>
        <w:t>Dallas</w:t>
      </w:r>
      <w:r>
        <w:rPr>
          <w:b/>
          <w:sz w:val="24"/>
        </w:rPr>
        <w:t xml:space="preserve">, </w:t>
      </w:r>
      <w:r>
        <w:rPr>
          <w:rFonts w:hint="eastAsia"/>
          <w:b/>
          <w:sz w:val="24"/>
        </w:rPr>
        <w:t>US</w:t>
      </w:r>
      <w:r>
        <w:rPr>
          <w:b/>
          <w:sz w:val="24"/>
        </w:rPr>
        <w:t xml:space="preserve">, </w:t>
      </w:r>
      <w:r>
        <w:rPr>
          <w:rFonts w:hint="eastAsia"/>
          <w:b/>
          <w:sz w:val="24"/>
        </w:rPr>
        <w:t xml:space="preserve">17 </w:t>
      </w:r>
      <w:r>
        <w:rPr>
          <w:b/>
          <w:sz w:val="24"/>
        </w:rPr>
        <w:t>–</w:t>
      </w:r>
      <w:r>
        <w:rPr>
          <w:rFonts w:hint="eastAsia"/>
          <w:b/>
          <w:sz w:val="24"/>
        </w:rPr>
        <w:t xml:space="preserve"> 21, </w:t>
      </w:r>
      <w:r>
        <w:rPr>
          <w:b/>
          <w:sz w:val="24"/>
        </w:rPr>
        <w:t>November 2025</w:t>
      </w:r>
    </w:p>
    <w:bookmarkEnd w:id="6"/>
    <w:bookmarkEnd w:id="7"/>
    <w:bookmarkEnd w:id="8"/>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9" w:name="OLE_LINK8"/>
      <w:bookmarkStart w:id="10" w:name="OLE_LINK14"/>
      <w:r>
        <w:rPr>
          <w:rFonts w:hint="eastAsia" w:ascii="Arial" w:hAnsi="Arial"/>
          <w:b/>
          <w:sz w:val="24"/>
          <w:highlight w:val="none"/>
          <w:lang w:val="en-US" w:eastAsia="zh-CN"/>
        </w:rPr>
        <w:t>D</w:t>
      </w:r>
      <w:r>
        <w:rPr>
          <w:rStyle w:val="60"/>
          <w:rFonts w:hint="eastAsia"/>
          <w:b/>
          <w:highlight w:val="none"/>
          <w:lang w:val="pt-BR" w:eastAsia="zh-CN"/>
        </w:rPr>
        <w:t>iscussion on</w:t>
      </w:r>
      <w:bookmarkEnd w:id="9"/>
      <w:bookmarkEnd w:id="10"/>
      <w:r>
        <w:rPr>
          <w:rStyle w:val="60"/>
          <w:rFonts w:hint="eastAsia"/>
          <w:b/>
          <w:highlight w:val="none"/>
          <w:lang w:val="en-US" w:eastAsia="zh-CN"/>
        </w:rPr>
        <w:t xml:space="preserve"> UE RF requirements for (e)RedCap enh</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7.4.3.1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109</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(e)RedCap UE enhancement</w:t>
      </w:r>
      <w:r>
        <w:rPr>
          <w:rFonts w:hint="default"/>
          <w:i w:val="0"/>
          <w:iCs w:val="0"/>
          <w:sz w:val="20"/>
          <w:szCs w:val="20"/>
          <w:lang w:val="en-US" w:eastAsia="zh-CN"/>
        </w:rPr>
        <w:t xml:space="preserve"> </w:t>
      </w:r>
      <w:r>
        <w:rPr>
          <w:rFonts w:hint="eastAsia"/>
          <w:i w:val="0"/>
          <w:iCs w:val="0"/>
          <w:sz w:val="20"/>
          <w:szCs w:val="20"/>
          <w:lang w:val="en-US" w:eastAsia="zh-CN"/>
        </w:rPr>
        <w:t>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(e)RedCap enhancement </w:t>
      </w:r>
      <w:r>
        <w:rPr>
          <w:rFonts w:hint="default"/>
          <w:i w:val="0"/>
          <w:iCs w:val="0"/>
          <w:sz w:val="20"/>
          <w:szCs w:val="20"/>
          <w:lang w:val="en-US" w:eastAsia="zh-CN"/>
        </w:rPr>
        <w:t>from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60" w:type="dxa"/>
          </w:tcPr>
          <w:p>
            <w:pPr>
              <w:pStyle w:val="34"/>
              <w:numPr>
                <w:ilvl w:val="0"/>
                <w:numId w:val="8"/>
              </w:numPr>
              <w:overflowPunct w:val="0"/>
              <w:autoSpaceDE w:val="0"/>
              <w:autoSpaceDN w:val="0"/>
              <w:adjustRightInd w:val="0"/>
              <w:spacing w:after="120"/>
              <w:jc w:val="both"/>
              <w:textAlignment w:val="baseline"/>
              <w:rPr>
                <w:sz w:val="20"/>
                <w:szCs w:val="20"/>
                <w:lang w:val="en-US"/>
              </w:rPr>
            </w:pPr>
            <w:r>
              <w:rPr>
                <w:sz w:val="20"/>
                <w:szCs w:val="20"/>
              </w:rPr>
              <w:t>Specify the following requirements for (e)RedCap UEs</w:t>
            </w:r>
            <w:r>
              <w:rPr>
                <w:rFonts w:hint="eastAsia"/>
                <w:sz w:val="20"/>
                <w:szCs w:val="20"/>
                <w:lang w:eastAsia="zh-CN"/>
              </w:rPr>
              <w:t xml:space="preserve"> [RAN4]</w:t>
            </w:r>
          </w:p>
          <w:p>
            <w:pPr>
              <w:numPr>
                <w:ilvl w:val="1"/>
                <w:numId w:val="8"/>
              </w:numPr>
              <w:overflowPunct w:val="0"/>
              <w:autoSpaceDE w:val="0"/>
              <w:autoSpaceDN w:val="0"/>
              <w:adjustRightInd w:val="0"/>
              <w:spacing w:after="120"/>
              <w:textAlignment w:val="baseline"/>
              <w:rPr>
                <w:sz w:val="20"/>
                <w:szCs w:val="20"/>
                <w:lang w:val="en-US"/>
              </w:rPr>
            </w:pPr>
            <w:r>
              <w:rPr>
                <w:sz w:val="20"/>
                <w:szCs w:val="20"/>
                <w:lang w:val="en-US"/>
              </w:rPr>
              <w:t>Relaxed RLM/BFD RRM requirements</w:t>
            </w:r>
          </w:p>
          <w:p>
            <w:pPr>
              <w:numPr>
                <w:ilvl w:val="2"/>
                <w:numId w:val="8"/>
              </w:numPr>
              <w:overflowPunct w:val="0"/>
              <w:autoSpaceDE w:val="0"/>
              <w:autoSpaceDN w:val="0"/>
              <w:adjustRightInd w:val="0"/>
              <w:spacing w:after="120"/>
              <w:textAlignment w:val="baseline"/>
              <w:rPr>
                <w:sz w:val="20"/>
                <w:szCs w:val="20"/>
                <w:lang w:val="en-US"/>
              </w:rPr>
            </w:pPr>
            <w:r>
              <w:rPr>
                <w:sz w:val="20"/>
                <w:szCs w:val="20"/>
                <w:lang w:val="en-US"/>
              </w:rPr>
              <w:t>Use R17 RLM/BFD relaxation for legacy UE as</w:t>
            </w:r>
            <w:r>
              <w:rPr>
                <w:rFonts w:hint="eastAsia"/>
                <w:sz w:val="20"/>
                <w:szCs w:val="20"/>
                <w:lang w:val="en-US" w:eastAsia="zh-CN"/>
              </w:rPr>
              <w:t xml:space="preserve"> a</w:t>
            </w:r>
            <w:r>
              <w:rPr>
                <w:sz w:val="20"/>
                <w:szCs w:val="20"/>
                <w:lang w:val="en-US"/>
              </w:rPr>
              <w:t xml:space="preserve"> baseline</w:t>
            </w:r>
          </w:p>
          <w:p>
            <w:pPr>
              <w:numPr>
                <w:ilvl w:val="1"/>
                <w:numId w:val="8"/>
              </w:numPr>
              <w:overflowPunct w:val="0"/>
              <w:autoSpaceDE w:val="0"/>
              <w:autoSpaceDN w:val="0"/>
              <w:adjustRightInd w:val="0"/>
              <w:spacing w:after="180"/>
              <w:textAlignment w:val="baseline"/>
              <w:rPr>
                <w:sz w:val="20"/>
                <w:szCs w:val="20"/>
                <w:lang w:val="en-US"/>
              </w:rPr>
            </w:pPr>
            <w:r>
              <w:rPr>
                <w:sz w:val="20"/>
                <w:szCs w:val="20"/>
                <w:lang w:val="en-US"/>
              </w:rPr>
              <w:t>Support of less than 5 MHz channel bandwidth (15</w:t>
            </w:r>
            <w:r>
              <w:rPr>
                <w:rFonts w:hint="eastAsia"/>
                <w:sz w:val="20"/>
                <w:szCs w:val="20"/>
                <w:lang w:val="en-US" w:eastAsia="zh-CN"/>
              </w:rPr>
              <w:t xml:space="preserve"> </w:t>
            </w:r>
            <w:r>
              <w:rPr>
                <w:sz w:val="20"/>
                <w:szCs w:val="20"/>
                <w:lang w:val="en-US"/>
              </w:rPr>
              <w:t>PRB transmission bandwidth configuration and 12</w:t>
            </w:r>
            <w:r>
              <w:rPr>
                <w:rFonts w:hint="eastAsia"/>
                <w:sz w:val="20"/>
                <w:szCs w:val="20"/>
                <w:lang w:val="en-US" w:eastAsia="zh-CN"/>
              </w:rPr>
              <w:t xml:space="preserve"> </w:t>
            </w:r>
            <w:r>
              <w:rPr>
                <w:sz w:val="20"/>
                <w:szCs w:val="20"/>
                <w:lang w:val="en-US"/>
              </w:rPr>
              <w:t>PRB SSB)</w:t>
            </w:r>
          </w:p>
          <w:p>
            <w:pPr>
              <w:numPr>
                <w:ilvl w:val="2"/>
                <w:numId w:val="8"/>
              </w:numPr>
              <w:overflowPunct w:val="0"/>
              <w:autoSpaceDE w:val="0"/>
              <w:autoSpaceDN w:val="0"/>
              <w:adjustRightInd w:val="0"/>
              <w:spacing w:after="120"/>
              <w:textAlignment w:val="baseline"/>
              <w:rPr>
                <w:sz w:val="20"/>
                <w:szCs w:val="20"/>
                <w:lang w:val="en-US"/>
              </w:rPr>
            </w:pPr>
            <w:r>
              <w:rPr>
                <w:sz w:val="20"/>
                <w:szCs w:val="20"/>
                <w:lang w:val="en-US"/>
              </w:rPr>
              <w:t>RF requirements, considering example bands: n100, n106, n26, n28 and n85</w:t>
            </w:r>
          </w:p>
          <w:p>
            <w:pPr>
              <w:numPr>
                <w:ilvl w:val="2"/>
                <w:numId w:val="8"/>
              </w:numPr>
              <w:overflowPunct w:val="0"/>
              <w:autoSpaceDE w:val="0"/>
              <w:autoSpaceDN w:val="0"/>
              <w:adjustRightInd w:val="0"/>
              <w:spacing w:after="180"/>
              <w:textAlignment w:val="baseline"/>
              <w:rPr>
                <w:sz w:val="20"/>
                <w:szCs w:val="20"/>
                <w:lang w:val="en-US"/>
              </w:rPr>
            </w:pPr>
            <w:r>
              <w:rPr>
                <w:sz w:val="20"/>
                <w:szCs w:val="20"/>
                <w:lang w:val="en-US"/>
              </w:rPr>
              <w:t xml:space="preserve">RRM requirements including </w:t>
            </w:r>
            <w:r>
              <w:rPr>
                <w:rFonts w:hint="eastAsia"/>
                <w:sz w:val="20"/>
                <w:szCs w:val="20"/>
                <w:lang w:val="en-US" w:eastAsia="zh-CN"/>
              </w:rPr>
              <w:t>r</w:t>
            </w:r>
            <w:r>
              <w:rPr>
                <w:sz w:val="20"/>
                <w:szCs w:val="20"/>
                <w:lang w:val="en-US"/>
              </w:rPr>
              <w:t>elaxed RLM/BFD RRM requirements</w:t>
            </w:r>
          </w:p>
          <w:p>
            <w:pPr>
              <w:pStyle w:val="34"/>
              <w:numPr>
                <w:ilvl w:val="2"/>
                <w:numId w:val="8"/>
              </w:numPr>
              <w:overflowPunct/>
              <w:autoSpaceDE/>
              <w:autoSpaceDN/>
              <w:adjustRightInd/>
              <w:spacing w:before="60" w:after="60"/>
              <w:textAlignment w:val="auto"/>
              <w:rPr>
                <w:sz w:val="20"/>
                <w:szCs w:val="20"/>
                <w:lang w:val="en-US"/>
              </w:rPr>
            </w:pPr>
            <w:r>
              <w:rPr>
                <w:sz w:val="20"/>
                <w:szCs w:val="20"/>
                <w:lang w:val="en-US"/>
              </w:rPr>
              <w:t>Note 1: Use R18 3</w:t>
            </w:r>
            <w:r>
              <w:rPr>
                <w:rFonts w:hint="eastAsia"/>
                <w:sz w:val="20"/>
                <w:szCs w:val="20"/>
                <w:lang w:val="en-US" w:eastAsia="zh-CN"/>
              </w:rPr>
              <w:t xml:space="preserve"> </w:t>
            </w:r>
            <w:r>
              <w:rPr>
                <w:sz w:val="20"/>
                <w:szCs w:val="20"/>
                <w:lang w:val="en-US"/>
              </w:rPr>
              <w:t xml:space="preserve">MHz requirements for non-RedCap UE as a baseline </w:t>
            </w:r>
          </w:p>
          <w:p>
            <w:pPr>
              <w:numPr>
                <w:ilvl w:val="1"/>
                <w:numId w:val="8"/>
              </w:numPr>
              <w:overflowPunct w:val="0"/>
              <w:autoSpaceDE w:val="0"/>
              <w:autoSpaceDN w:val="0"/>
              <w:adjustRightInd w:val="0"/>
              <w:spacing w:after="120"/>
              <w:textAlignment w:val="baseline"/>
              <w:rPr>
                <w:sz w:val="20"/>
                <w:szCs w:val="20"/>
                <w:lang w:val="en-US"/>
              </w:rPr>
            </w:pPr>
            <w:r>
              <w:rPr>
                <w:sz w:val="20"/>
                <w:szCs w:val="20"/>
                <w:lang w:val="en-US"/>
              </w:rPr>
              <w:t>Note 2: Consider both 1Rx and 2Rx (e)Red</w:t>
            </w:r>
            <w:r>
              <w:rPr>
                <w:rFonts w:hint="eastAsia"/>
                <w:sz w:val="20"/>
                <w:szCs w:val="20"/>
                <w:lang w:val="en-US" w:eastAsia="zh-CN"/>
              </w:rPr>
              <w:t>C</w:t>
            </w:r>
            <w:r>
              <w:rPr>
                <w:sz w:val="20"/>
                <w:szCs w:val="20"/>
                <w:lang w:val="en-US"/>
              </w:rPr>
              <w:t>ap UEs and HD-FDD</w:t>
            </w:r>
          </w:p>
          <w:p>
            <w:pPr>
              <w:numPr>
                <w:ilvl w:val="0"/>
                <w:numId w:val="8"/>
              </w:numPr>
              <w:overflowPunct w:val="0"/>
              <w:autoSpaceDE w:val="0"/>
              <w:autoSpaceDN w:val="0"/>
              <w:adjustRightInd w:val="0"/>
              <w:spacing w:after="120"/>
              <w:textAlignment w:val="baseline"/>
              <w:rPr>
                <w:sz w:val="20"/>
                <w:szCs w:val="20"/>
                <w:lang w:val="en-US"/>
              </w:rPr>
            </w:pPr>
            <w:r>
              <w:rPr>
                <w:sz w:val="20"/>
                <w:szCs w:val="20"/>
                <w:lang w:val="en-US"/>
              </w:rPr>
              <w:t>For intra-band co-located contiguous CA, specify necessary RRM requirements to support data scheduling on SCell prior to UE transmitting valid CSI report (to be started in Q4 2026)</w:t>
            </w:r>
            <w:r>
              <w:rPr>
                <w:rFonts w:hint="eastAsia"/>
                <w:sz w:val="20"/>
                <w:szCs w:val="20"/>
                <w:lang w:val="en-US" w:eastAsia="zh-CN"/>
              </w:rPr>
              <w:t xml:space="preserve"> [RAN4]</w:t>
            </w:r>
          </w:p>
          <w:p>
            <w:pPr>
              <w:numPr>
                <w:ilvl w:val="1"/>
                <w:numId w:val="8"/>
              </w:numPr>
              <w:overflowPunct w:val="0"/>
              <w:autoSpaceDE w:val="0"/>
              <w:autoSpaceDN w:val="0"/>
              <w:adjustRightInd w:val="0"/>
              <w:spacing w:after="120"/>
              <w:textAlignment w:val="baseline"/>
              <w:rPr>
                <w:sz w:val="20"/>
                <w:szCs w:val="20"/>
                <w:lang w:val="en-US"/>
              </w:rPr>
            </w:pPr>
            <w:r>
              <w:rPr>
                <w:sz w:val="20"/>
                <w:szCs w:val="20"/>
                <w:lang w:val="en-US"/>
              </w:rPr>
              <w:t>Note 3: No new PDSCH demodulation requirement shall be defined.</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textAlignment w:val="baseline"/>
              <w:rPr>
                <w:b/>
                <w:color w:val="auto"/>
                <w:sz w:val="20"/>
                <w:szCs w:val="20"/>
                <w:u w:val="single"/>
                <w:lang w:val="en-US" w:eastAsia="ko-KR"/>
              </w:rPr>
            </w:pPr>
            <w:r>
              <w:rPr>
                <w:b/>
                <w:color w:val="auto"/>
                <w:sz w:val="20"/>
                <w:szCs w:val="20"/>
                <w:u w:val="single"/>
                <w:lang w:val="en-US" w:eastAsia="ko-KR"/>
              </w:rPr>
              <w:t xml:space="preserve">Issue 4-1: Whether 3MHz UE CBW should be optional or mandatory in Rel-20 for (e)Redcap </w:t>
            </w:r>
          </w:p>
          <w:p>
            <w:pPr>
              <w:overflowPunct w:val="0"/>
              <w:autoSpaceDE w:val="0"/>
              <w:autoSpaceDN w:val="0"/>
              <w:adjustRightInd w:val="0"/>
              <w:spacing w:after="120"/>
              <w:textAlignment w:val="baseline"/>
              <w:rPr>
                <w:color w:val="auto"/>
                <w:sz w:val="20"/>
                <w:szCs w:val="20"/>
                <w:lang w:eastAsia="zh-CN"/>
              </w:rPr>
            </w:pPr>
            <w:r>
              <w:rPr>
                <w:color w:val="auto"/>
                <w:sz w:val="20"/>
                <w:szCs w:val="20"/>
                <w:lang w:eastAsia="zh-CN"/>
              </w:rPr>
              <w:t>FFS</w:t>
            </w:r>
            <w:r>
              <w:rPr>
                <w:color w:val="auto"/>
                <w:sz w:val="20"/>
                <w:szCs w:val="20"/>
              </w:rPr>
              <w:t xml:space="preserve"> </w:t>
            </w:r>
            <w:r>
              <w:rPr>
                <w:color w:val="auto"/>
                <w:sz w:val="20"/>
                <w:szCs w:val="20"/>
                <w:lang w:eastAsia="zh-CN"/>
              </w:rPr>
              <w:t>whether 3MHz should be optional or mandatory in Rel-20 for (e)Redcap</w:t>
            </w:r>
          </w:p>
          <w:p>
            <w:pPr>
              <w:overflowPunct w:val="0"/>
              <w:autoSpaceDE w:val="0"/>
              <w:autoSpaceDN w:val="0"/>
              <w:adjustRightInd w:val="0"/>
              <w:spacing w:after="120"/>
              <w:textAlignment w:val="baseline"/>
              <w:rPr>
                <w:b/>
                <w:color w:val="auto"/>
                <w:sz w:val="20"/>
                <w:szCs w:val="20"/>
                <w:u w:val="single"/>
                <w:lang w:val="en-US" w:eastAsia="ko-KR"/>
              </w:rPr>
            </w:pPr>
            <w:r>
              <w:rPr>
                <w:b/>
                <w:color w:val="auto"/>
                <w:sz w:val="20"/>
                <w:szCs w:val="20"/>
                <w:u w:val="single"/>
                <w:lang w:val="en-US" w:eastAsia="ko-KR"/>
              </w:rPr>
              <w:t xml:space="preserve">Issue 4-3: UE capability  </w:t>
            </w:r>
          </w:p>
          <w:p>
            <w:pPr>
              <w:overflowPunct w:val="0"/>
              <w:autoSpaceDE w:val="0"/>
              <w:autoSpaceDN w:val="0"/>
              <w:adjustRightInd w:val="0"/>
              <w:spacing w:after="120"/>
              <w:textAlignment w:val="baseline"/>
              <w:rPr>
                <w:color w:val="auto"/>
                <w:sz w:val="20"/>
                <w:szCs w:val="20"/>
                <w:lang w:eastAsia="zh-CN"/>
              </w:rPr>
            </w:pPr>
            <w:r>
              <w:rPr>
                <w:color w:val="auto"/>
                <w:sz w:val="20"/>
                <w:szCs w:val="20"/>
                <w:lang w:eastAsia="zh-CN"/>
              </w:rPr>
              <w:t xml:space="preserve">FFS in next meeting what UE capabilities of (e)Redcap need to be updated to support 3MHz and sent LS to RAN2. </w:t>
            </w:r>
          </w:p>
        </w:tc>
      </w:tr>
    </w:tbl>
    <w:p>
      <w:pPr>
        <w:bidi w:val="0"/>
        <w:rPr>
          <w:rFonts w:hint="default" w:eastAsia="宋体"/>
          <w:sz w:val="20"/>
          <w:szCs w:val="20"/>
          <w:lang w:val="en-US" w:eastAsia="zh-CN"/>
        </w:rPr>
      </w:pPr>
      <w:r>
        <w:rPr>
          <w:rFonts w:hint="eastAsia"/>
          <w:sz w:val="20"/>
          <w:szCs w:val="20"/>
          <w:lang w:val="en-US" w:eastAsia="zh-CN"/>
        </w:rPr>
        <w:t>In last meeting, we already reached many agreements for the most of issues and there are two issues left to be further discussed as shown in the above. The first remaining issue is whether 3MHz UE CBW should be optional or mandatory in Rel-20 for (e)RedCap. 3MHz was introduced as optional in Rel-18 in less than 5MHz work item. However, after that, 3MHz is mandatory support for band n106 in WID NR 900MHz US in Rel-18 since band n106 only support 3MHz CBW. The following table shows that 3MHz is optional or mandatory for bands n26, n28, n85, n100 and n106.</w:t>
      </w:r>
    </w:p>
    <w:p>
      <w:pPr>
        <w:pStyle w:val="56"/>
        <w:rPr>
          <w:sz w:val="20"/>
          <w:szCs w:val="18"/>
        </w:rPr>
      </w:pPr>
      <w:r>
        <w:rPr>
          <w:sz w:val="20"/>
          <w:szCs w:val="18"/>
        </w:rPr>
        <w:t xml:space="preserve">Table </w:t>
      </w:r>
      <w:r>
        <w:rPr>
          <w:rFonts w:hint="eastAsia"/>
          <w:sz w:val="20"/>
          <w:szCs w:val="18"/>
          <w:lang w:val="en-US" w:eastAsia="zh-CN"/>
        </w:rPr>
        <w:t>2</w:t>
      </w:r>
      <w:r>
        <w:rPr>
          <w:sz w:val="20"/>
          <w:szCs w:val="18"/>
        </w:rPr>
        <w:t>-1 Channel bandwidths for each NR band</w:t>
      </w:r>
    </w:p>
    <w:tbl>
      <w:tblPr>
        <w:tblStyle w:val="23"/>
        <w:tblW w:w="41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28"/>
        <w:gridCol w:w="1260"/>
        <w:gridCol w:w="582"/>
        <w:gridCol w:w="582"/>
        <w:gridCol w:w="582"/>
        <w:gridCol w:w="582"/>
        <w:gridCol w:w="582"/>
        <w:gridCol w:w="582"/>
        <w:gridCol w:w="582"/>
        <w:gridCol w:w="582"/>
        <w:gridCol w:w="582"/>
        <w:gridCol w:w="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34" w:type="pct"/>
            <w:vMerge w:val="restart"/>
            <w:tcMar>
              <w:left w:w="28" w:type="dxa"/>
              <w:right w:w="28" w:type="dxa"/>
            </w:tcMar>
          </w:tcPr>
          <w:p>
            <w:pPr>
              <w:pStyle w:val="65"/>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NR Band</w:t>
            </w:r>
          </w:p>
        </w:tc>
        <w:tc>
          <w:tcPr>
            <w:tcW w:w="777" w:type="pct"/>
            <w:vMerge w:val="restart"/>
          </w:tcPr>
          <w:p>
            <w:pPr>
              <w:pStyle w:val="65"/>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SCS (kHz)</w:t>
            </w:r>
          </w:p>
        </w:tc>
        <w:tc>
          <w:tcPr>
            <w:tcW w:w="3588" w:type="pct"/>
            <w:gridSpan w:val="10"/>
          </w:tcPr>
          <w:p>
            <w:pPr>
              <w:pStyle w:val="65"/>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U</w:t>
            </w:r>
            <w:r>
              <w:t>E Channel bandwidth (M</w:t>
            </w:r>
            <w:r>
              <w:rPr>
                <w:rFonts w:eastAsia="Yu Mincho"/>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634" w:type="pct"/>
            <w:vMerge w:val="continue"/>
            <w:tcBorders>
              <w:bottom w:val="single" w:color="auto" w:sz="4" w:space="0"/>
            </w:tcBorders>
            <w:tcMar>
              <w:left w:w="28" w:type="dxa"/>
              <w:right w:w="28" w:type="dxa"/>
            </w:tcMar>
          </w:tcPr>
          <w:p>
            <w:pPr>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Yu Mincho"/>
                <w:b/>
                <w:sz w:val="18"/>
              </w:rPr>
            </w:pPr>
          </w:p>
        </w:tc>
        <w:tc>
          <w:tcPr>
            <w:tcW w:w="777" w:type="pct"/>
            <w:vMerge w:val="continue"/>
            <w:tcMar>
              <w:left w:w="28" w:type="dxa"/>
              <w:right w:w="28" w:type="dxa"/>
            </w:tcMar>
          </w:tcPr>
          <w:p>
            <w:pPr>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Yu Mincho"/>
                <w:b/>
                <w:sz w:val="18"/>
              </w:rPr>
            </w:pPr>
          </w:p>
        </w:tc>
        <w:tc>
          <w:tcPr>
            <w:tcW w:w="358" w:type="pct"/>
            <w:vAlign w:val="center"/>
          </w:tcPr>
          <w:p>
            <w:pPr>
              <w:pStyle w:val="65"/>
              <w:keepNext w:val="0"/>
              <w:keepLines w:val="0"/>
              <w:pageBreakBefore w:val="0"/>
              <w:widowControl/>
              <w:kinsoku/>
              <w:wordWrap/>
              <w:overflowPunct/>
              <w:topLinePunct w:val="0"/>
              <w:autoSpaceDE/>
              <w:autoSpaceDN/>
              <w:bidi w:val="0"/>
              <w:adjustRightInd/>
              <w:snapToGrid/>
              <w:spacing w:beforeLines="0" w:afterLines="0" w:line="240" w:lineRule="auto"/>
              <w:jc w:val="center"/>
              <w:textAlignment w:val="auto"/>
              <w:rPr>
                <w:rFonts w:eastAsia="宋体"/>
                <w:lang w:eastAsia="zh-CN"/>
              </w:rPr>
            </w:pPr>
            <w:r>
              <w:rPr>
                <w:lang w:eastAsia="zh-CN"/>
              </w:rPr>
              <w:t>3</w:t>
            </w:r>
          </w:p>
        </w:tc>
        <w:tc>
          <w:tcPr>
            <w:tcW w:w="358" w:type="pct"/>
            <w:tcMar>
              <w:left w:w="28" w:type="dxa"/>
              <w:right w:w="28" w:type="dxa"/>
            </w:tcMar>
          </w:tcPr>
          <w:p>
            <w:pPr>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Yu Mincho"/>
                <w:b/>
                <w:sz w:val="18"/>
              </w:rPr>
            </w:pPr>
            <w:r>
              <w:rPr>
                <w:rFonts w:hint="eastAsia" w:ascii="Arial" w:hAnsi="Arial" w:eastAsia="宋体"/>
                <w:b/>
                <w:sz w:val="18"/>
                <w:lang w:eastAsia="zh-CN"/>
              </w:rPr>
              <w:t>5</w:t>
            </w:r>
          </w:p>
        </w:tc>
        <w:tc>
          <w:tcPr>
            <w:tcW w:w="358" w:type="pct"/>
          </w:tcPr>
          <w:p>
            <w:pPr>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b/>
                <w:sz w:val="18"/>
                <w:lang w:eastAsia="zh-CN"/>
              </w:rPr>
            </w:pPr>
            <w:r>
              <w:rPr>
                <w:rFonts w:ascii="Arial" w:hAnsi="Arial" w:eastAsia="宋体"/>
                <w:b/>
                <w:sz w:val="18"/>
                <w:lang w:eastAsia="zh-CN"/>
              </w:rPr>
              <w:t>7</w:t>
            </w:r>
          </w:p>
        </w:tc>
        <w:tc>
          <w:tcPr>
            <w:tcW w:w="358" w:type="pct"/>
            <w:tcMar>
              <w:left w:w="28" w:type="dxa"/>
              <w:right w:w="28" w:type="dxa"/>
            </w:tcMar>
          </w:tcPr>
          <w:p>
            <w:pPr>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b/>
                <w:sz w:val="18"/>
                <w:lang w:eastAsia="ko-KR"/>
              </w:rPr>
            </w:pPr>
            <w:r>
              <w:rPr>
                <w:rFonts w:hint="eastAsia" w:ascii="Arial" w:hAnsi="Arial" w:eastAsia="宋体"/>
                <w:b/>
                <w:sz w:val="18"/>
                <w:lang w:eastAsia="zh-CN"/>
              </w:rPr>
              <w:t>1</w:t>
            </w:r>
            <w:r>
              <w:rPr>
                <w:rFonts w:ascii="Arial" w:hAnsi="Arial" w:eastAsia="宋体"/>
                <w:b/>
                <w:sz w:val="18"/>
                <w:lang w:eastAsia="zh-CN"/>
              </w:rPr>
              <w:t>0</w:t>
            </w:r>
          </w:p>
        </w:tc>
        <w:tc>
          <w:tcPr>
            <w:tcW w:w="358" w:type="pct"/>
            <w:tcMar>
              <w:left w:w="28" w:type="dxa"/>
              <w:right w:w="28" w:type="dxa"/>
            </w:tcMar>
          </w:tcPr>
          <w:p>
            <w:pPr>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b/>
                <w:sz w:val="18"/>
                <w:lang w:eastAsia="ko-KR"/>
              </w:rPr>
            </w:pPr>
            <w:r>
              <w:rPr>
                <w:rFonts w:hint="eastAsia" w:ascii="Arial" w:hAnsi="Arial" w:eastAsia="宋体"/>
                <w:b/>
                <w:sz w:val="18"/>
                <w:lang w:eastAsia="zh-CN"/>
              </w:rPr>
              <w:t>1</w:t>
            </w:r>
            <w:r>
              <w:rPr>
                <w:rFonts w:ascii="Arial" w:hAnsi="Arial" w:eastAsia="宋体"/>
                <w:b/>
                <w:sz w:val="18"/>
                <w:lang w:eastAsia="zh-CN"/>
              </w:rPr>
              <w:t>5</w:t>
            </w:r>
          </w:p>
        </w:tc>
        <w:tc>
          <w:tcPr>
            <w:tcW w:w="358" w:type="pct"/>
            <w:tcMar>
              <w:left w:w="28" w:type="dxa"/>
              <w:right w:w="28" w:type="dxa"/>
            </w:tcMar>
          </w:tcPr>
          <w:p>
            <w:pPr>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b/>
                <w:sz w:val="18"/>
                <w:lang w:eastAsia="ko-KR"/>
              </w:rPr>
            </w:pPr>
            <w:r>
              <w:rPr>
                <w:rFonts w:hint="eastAsia" w:ascii="Arial" w:hAnsi="Arial" w:eastAsia="宋体"/>
                <w:b/>
                <w:sz w:val="18"/>
                <w:lang w:eastAsia="zh-CN"/>
              </w:rPr>
              <w:t>2</w:t>
            </w:r>
            <w:r>
              <w:rPr>
                <w:rFonts w:ascii="Arial" w:hAnsi="Arial" w:eastAsia="宋体"/>
                <w:b/>
                <w:sz w:val="18"/>
                <w:lang w:eastAsia="zh-CN"/>
              </w:rPr>
              <w:t>0</w:t>
            </w:r>
          </w:p>
        </w:tc>
        <w:tc>
          <w:tcPr>
            <w:tcW w:w="358" w:type="pct"/>
            <w:tcMar>
              <w:left w:w="28" w:type="dxa"/>
              <w:right w:w="28" w:type="dxa"/>
            </w:tcMar>
          </w:tcPr>
          <w:p>
            <w:pPr>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b/>
                <w:sz w:val="18"/>
                <w:lang w:eastAsia="ko-KR"/>
              </w:rPr>
            </w:pPr>
            <w:r>
              <w:rPr>
                <w:rFonts w:ascii="Arial" w:hAnsi="Arial" w:eastAsia="宋体"/>
                <w:b/>
                <w:sz w:val="18"/>
                <w:lang w:eastAsia="zh-CN"/>
              </w:rPr>
              <w:t>25</w:t>
            </w:r>
          </w:p>
        </w:tc>
        <w:tc>
          <w:tcPr>
            <w:tcW w:w="358" w:type="pct"/>
            <w:tcMar>
              <w:left w:w="28" w:type="dxa"/>
              <w:right w:w="28" w:type="dxa"/>
            </w:tcMar>
          </w:tcPr>
          <w:p>
            <w:pPr>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Yu Mincho"/>
                <w:b/>
                <w:sz w:val="18"/>
              </w:rPr>
            </w:pPr>
            <w:r>
              <w:rPr>
                <w:rFonts w:hint="eastAsia" w:ascii="Arial" w:hAnsi="Arial" w:eastAsia="宋体"/>
                <w:b/>
                <w:sz w:val="18"/>
                <w:lang w:eastAsia="zh-CN"/>
              </w:rPr>
              <w:t>3</w:t>
            </w:r>
            <w:r>
              <w:rPr>
                <w:rFonts w:ascii="Arial" w:hAnsi="Arial" w:eastAsia="宋体"/>
                <w:b/>
                <w:sz w:val="18"/>
                <w:lang w:eastAsia="zh-CN"/>
              </w:rPr>
              <w:t>0</w:t>
            </w:r>
          </w:p>
        </w:tc>
        <w:tc>
          <w:tcPr>
            <w:tcW w:w="358" w:type="pct"/>
          </w:tcPr>
          <w:p>
            <w:pPr>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b/>
                <w:sz w:val="18"/>
                <w:lang w:eastAsia="zh-CN"/>
              </w:rPr>
            </w:pPr>
            <w:r>
              <w:rPr>
                <w:rFonts w:ascii="Arial" w:hAnsi="Arial" w:eastAsia="宋体"/>
                <w:b/>
                <w:sz w:val="18"/>
                <w:lang w:eastAsia="zh-CN"/>
              </w:rPr>
              <w:t>35</w:t>
            </w:r>
          </w:p>
        </w:tc>
        <w:tc>
          <w:tcPr>
            <w:tcW w:w="358" w:type="pct"/>
            <w:tcMar>
              <w:left w:w="28" w:type="dxa"/>
              <w:right w:w="28" w:type="dxa"/>
            </w:tcMar>
          </w:tcPr>
          <w:p>
            <w:pPr>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Yu Mincho"/>
                <w:b/>
                <w:sz w:val="18"/>
              </w:rPr>
            </w:pPr>
            <w:r>
              <w:rPr>
                <w:rFonts w:hint="eastAsia" w:ascii="Arial" w:hAnsi="Arial" w:eastAsia="宋体"/>
                <w:b/>
                <w:sz w:val="18"/>
                <w:lang w:eastAsia="zh-CN"/>
              </w:rPr>
              <w:t>4</w:t>
            </w:r>
            <w:r>
              <w:rPr>
                <w:rFonts w:ascii="Arial" w:hAnsi="Arial" w:eastAsia="宋体"/>
                <w:b/>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4" w:type="pct"/>
            <w:tcBorders>
              <w:bottom w:val="nil"/>
            </w:tcBorders>
            <w:shd w:val="clear" w:color="auto" w:fill="auto"/>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n26</w:t>
            </w:r>
          </w:p>
        </w:tc>
        <w:tc>
          <w:tcPr>
            <w:tcW w:w="777"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宋体"/>
              </w:rPr>
              <w:t>15</w:t>
            </w: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3</w:t>
            </w:r>
            <w:r>
              <w:rPr>
                <w:rFonts w:eastAsia="Yu Mincho"/>
                <w:vertAlign w:val="superscript"/>
              </w:rPr>
              <w:t>4</w:t>
            </w: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5</w:t>
            </w: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宋体"/>
              </w:rPr>
              <w:t>7</w:t>
            </w:r>
            <w:r>
              <w:rPr>
                <w:rFonts w:eastAsia="Yu Mincho"/>
                <w:vertAlign w:val="superscript"/>
              </w:rPr>
              <w:t>4</w:t>
            </w: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宋体"/>
              </w:rPr>
              <w:t>10</w:t>
            </w: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宋体"/>
              </w:rPr>
              <w:t>15</w:t>
            </w: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宋体"/>
              </w:rPr>
              <w:t>20</w:t>
            </w:r>
          </w:p>
        </w:tc>
        <w:tc>
          <w:tcPr>
            <w:tcW w:w="358" w:type="pct"/>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Yu Mincho"/>
              </w:rPr>
              <w:t>25</w:t>
            </w:r>
            <w:r>
              <w:rPr>
                <w:rFonts w:eastAsia="Yu Mincho"/>
                <w:vertAlign w:val="superscript"/>
              </w:rPr>
              <w:t>3</w:t>
            </w: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Yu Mincho"/>
              </w:rPr>
              <w:t>30</w:t>
            </w:r>
            <w:r>
              <w:rPr>
                <w:rFonts w:eastAsia="Yu Mincho"/>
                <w:vertAlign w:val="superscript"/>
              </w:rPr>
              <w:t>3</w:t>
            </w: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szCs w:val="18"/>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34" w:type="pct"/>
            <w:tcBorders>
              <w:top w:val="nil"/>
              <w:bottom w:val="single" w:color="auto" w:sz="4" w:space="0"/>
            </w:tcBorders>
            <w:shd w:val="clear" w:color="auto" w:fill="auto"/>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77"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宋体"/>
              </w:rPr>
              <w:t>30</w:t>
            </w: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宋体"/>
              </w:rPr>
              <w:t>10</w:t>
            </w: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宋体"/>
              </w:rPr>
              <w:t>15</w:t>
            </w: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宋体"/>
              </w:rPr>
              <w:t>20</w:t>
            </w:r>
          </w:p>
        </w:tc>
        <w:tc>
          <w:tcPr>
            <w:tcW w:w="358" w:type="pct"/>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Yu Mincho"/>
              </w:rPr>
              <w:t>25</w:t>
            </w:r>
            <w:r>
              <w:rPr>
                <w:rFonts w:eastAsia="Yu Mincho"/>
                <w:vertAlign w:val="superscript"/>
              </w:rPr>
              <w:t>3</w:t>
            </w: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Yu Mincho"/>
              </w:rPr>
              <w:t>30</w:t>
            </w:r>
            <w:r>
              <w:rPr>
                <w:rFonts w:eastAsia="Yu Mincho"/>
                <w:vertAlign w:val="superscript"/>
              </w:rPr>
              <w:t>3</w:t>
            </w: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szCs w:val="18"/>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4" w:type="pct"/>
            <w:tcBorders>
              <w:bottom w:val="nil"/>
            </w:tcBorders>
            <w:shd w:val="clear" w:color="auto" w:fill="auto"/>
            <w:tcMar>
              <w:left w:w="28" w:type="dxa"/>
              <w:right w:w="28" w:type="dxa"/>
            </w:tcMar>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n28</w:t>
            </w:r>
          </w:p>
        </w:tc>
        <w:tc>
          <w:tcPr>
            <w:tcW w:w="777" w:type="pct"/>
            <w:tcMar>
              <w:left w:w="28" w:type="dxa"/>
              <w:right w:w="28" w:type="dxa"/>
            </w:tcMar>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15</w:t>
            </w:r>
          </w:p>
        </w:tc>
        <w:tc>
          <w:tcPr>
            <w:tcW w:w="35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3</w:t>
            </w:r>
            <w:r>
              <w:rPr>
                <w:rFonts w:eastAsia="Yu Mincho"/>
                <w:vertAlign w:val="superscript"/>
              </w:rPr>
              <w:t>4</w:t>
            </w:r>
          </w:p>
        </w:tc>
        <w:tc>
          <w:tcPr>
            <w:tcW w:w="358" w:type="pct"/>
            <w:tcMar>
              <w:left w:w="28" w:type="dxa"/>
              <w:right w:w="28" w:type="dxa"/>
            </w:tcMa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5</w:t>
            </w:r>
          </w:p>
        </w:tc>
        <w:tc>
          <w:tcPr>
            <w:tcW w:w="35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Mar>
              <w:left w:w="28" w:type="dxa"/>
              <w:right w:w="28" w:type="dxa"/>
            </w:tcMar>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10</w:t>
            </w:r>
          </w:p>
        </w:tc>
        <w:tc>
          <w:tcPr>
            <w:tcW w:w="358" w:type="pct"/>
            <w:tcMar>
              <w:left w:w="28" w:type="dxa"/>
              <w:right w:w="28" w:type="dxa"/>
            </w:tcMar>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15</w:t>
            </w:r>
          </w:p>
        </w:tc>
        <w:tc>
          <w:tcPr>
            <w:tcW w:w="358" w:type="pct"/>
            <w:tcMar>
              <w:left w:w="28" w:type="dxa"/>
              <w:right w:w="28" w:type="dxa"/>
            </w:tcMar>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20</w:t>
            </w:r>
            <w:r>
              <w:rPr>
                <w:rFonts w:eastAsia="Yu Mincho"/>
                <w:vertAlign w:val="superscript"/>
              </w:rPr>
              <w:t>7</w:t>
            </w:r>
          </w:p>
        </w:tc>
        <w:tc>
          <w:tcPr>
            <w:tcW w:w="358" w:type="pct"/>
            <w:tcMar>
              <w:left w:w="28" w:type="dxa"/>
              <w:right w:w="28" w:type="dxa"/>
            </w:tcMar>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cs="Arial"/>
                <w:lang w:eastAsia="zh-CN"/>
              </w:rPr>
              <w:t>2</w:t>
            </w:r>
            <w:r>
              <w:rPr>
                <w:rFonts w:cs="Arial"/>
                <w:lang w:eastAsia="zh-CN"/>
              </w:rPr>
              <w:t>5</w:t>
            </w:r>
            <w:r>
              <w:rPr>
                <w:rFonts w:cs="Arial"/>
                <w:vertAlign w:val="superscript"/>
                <w:lang w:eastAsia="zh-CN"/>
              </w:rPr>
              <w:t>7</w:t>
            </w:r>
          </w:p>
        </w:tc>
        <w:tc>
          <w:tcPr>
            <w:tcW w:w="358" w:type="pct"/>
            <w:tcMar>
              <w:left w:w="28" w:type="dxa"/>
              <w:right w:w="28" w:type="dxa"/>
            </w:tcMa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30</w:t>
            </w:r>
            <w:r>
              <w:rPr>
                <w:rFonts w:eastAsia="Yu Mincho"/>
                <w:vertAlign w:val="superscript"/>
              </w:rPr>
              <w:t>7</w:t>
            </w:r>
          </w:p>
        </w:tc>
        <w:tc>
          <w:tcPr>
            <w:tcW w:w="35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Mar>
              <w:left w:w="28" w:type="dxa"/>
              <w:right w:w="28" w:type="dxa"/>
            </w:tcMa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lang w:eastAsia="zh-CN"/>
              </w:rPr>
              <w:t>40</w:t>
            </w:r>
            <w:r>
              <w:rPr>
                <w:vertAlign w:val="superscript"/>
                <w:lang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4" w:type="pct"/>
            <w:tcBorders>
              <w:top w:val="nil"/>
              <w:bottom w:val="nil"/>
            </w:tcBorders>
            <w:shd w:val="clear" w:color="auto" w:fill="auto"/>
            <w:tcMar>
              <w:left w:w="28" w:type="dxa"/>
              <w:right w:w="28" w:type="dxa"/>
            </w:tcMar>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77" w:type="pct"/>
            <w:tcMar>
              <w:left w:w="28" w:type="dxa"/>
              <w:right w:w="28" w:type="dxa"/>
            </w:tcMar>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30</w:t>
            </w:r>
          </w:p>
        </w:tc>
        <w:tc>
          <w:tcPr>
            <w:tcW w:w="35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Mar>
              <w:left w:w="28" w:type="dxa"/>
              <w:right w:w="28" w:type="dxa"/>
            </w:tcMa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Mar>
              <w:left w:w="28" w:type="dxa"/>
              <w:right w:w="28" w:type="dxa"/>
            </w:tcMa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10</w:t>
            </w:r>
          </w:p>
        </w:tc>
        <w:tc>
          <w:tcPr>
            <w:tcW w:w="358" w:type="pct"/>
            <w:tcMar>
              <w:left w:w="28" w:type="dxa"/>
              <w:right w:w="28" w:type="dxa"/>
            </w:tcMar>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15</w:t>
            </w:r>
          </w:p>
        </w:tc>
        <w:tc>
          <w:tcPr>
            <w:tcW w:w="358" w:type="pct"/>
            <w:tcMar>
              <w:left w:w="28" w:type="dxa"/>
              <w:right w:w="28" w:type="dxa"/>
            </w:tcMar>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20</w:t>
            </w:r>
            <w:r>
              <w:rPr>
                <w:rFonts w:eastAsia="Yu Mincho"/>
                <w:vertAlign w:val="superscript"/>
              </w:rPr>
              <w:t>7</w:t>
            </w:r>
          </w:p>
        </w:tc>
        <w:tc>
          <w:tcPr>
            <w:tcW w:w="358" w:type="pct"/>
            <w:tcMar>
              <w:left w:w="28" w:type="dxa"/>
              <w:right w:w="28" w:type="dxa"/>
            </w:tcMar>
            <w:vAlign w:val="cente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hint="eastAsia" w:cs="Arial"/>
                <w:lang w:eastAsia="zh-CN"/>
              </w:rPr>
              <w:t>2</w:t>
            </w:r>
            <w:r>
              <w:rPr>
                <w:rFonts w:cs="Arial"/>
                <w:lang w:eastAsia="zh-CN"/>
              </w:rPr>
              <w:t>5</w:t>
            </w:r>
            <w:r>
              <w:rPr>
                <w:rFonts w:cs="Arial"/>
                <w:vertAlign w:val="superscript"/>
                <w:lang w:eastAsia="zh-CN"/>
              </w:rPr>
              <w:t>7</w:t>
            </w:r>
          </w:p>
        </w:tc>
        <w:tc>
          <w:tcPr>
            <w:tcW w:w="358" w:type="pct"/>
            <w:tcMar>
              <w:left w:w="28" w:type="dxa"/>
              <w:right w:w="28" w:type="dxa"/>
            </w:tcMa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30</w:t>
            </w:r>
            <w:r>
              <w:rPr>
                <w:rFonts w:eastAsia="Yu Mincho"/>
                <w:vertAlign w:val="superscript"/>
              </w:rPr>
              <w:t>7</w:t>
            </w:r>
          </w:p>
        </w:tc>
        <w:tc>
          <w:tcPr>
            <w:tcW w:w="358" w:type="pct"/>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Mar>
              <w:left w:w="28" w:type="dxa"/>
              <w:right w:w="28" w:type="dxa"/>
            </w:tcMar>
          </w:tcPr>
          <w:p>
            <w:pPr>
              <w:pStyle w:val="57"/>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lang w:eastAsia="zh-CN"/>
              </w:rPr>
              <w:t>40</w:t>
            </w:r>
            <w:r>
              <w:rPr>
                <w:vertAlign w:val="superscript"/>
                <w:lang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4" w:type="pct"/>
            <w:tcBorders>
              <w:top w:val="single" w:color="000000" w:themeColor="text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n85</w:t>
            </w:r>
          </w:p>
        </w:tc>
        <w:tc>
          <w:tcPr>
            <w:tcW w:w="777" w:type="pct"/>
            <w:tcBorders>
              <w:left w:val="single" w:color="000000" w:themeColor="text1" w:sz="4" w:space="0"/>
            </w:tcBorders>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Yu Mincho"/>
              </w:rPr>
              <w:t>15</w:t>
            </w: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3</w:t>
            </w:r>
            <w:r>
              <w:rPr>
                <w:rFonts w:eastAsia="Yu Mincho"/>
                <w:vertAlign w:val="superscript"/>
              </w:rPr>
              <w:t>4</w:t>
            </w:r>
          </w:p>
        </w:tc>
        <w:tc>
          <w:tcPr>
            <w:tcW w:w="358" w:type="pct"/>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Yu Mincho"/>
              </w:rPr>
              <w:t>5</w:t>
            </w: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Yu Mincho"/>
              </w:rPr>
              <w:t>10</w:t>
            </w:r>
          </w:p>
        </w:tc>
        <w:tc>
          <w:tcPr>
            <w:tcW w:w="358" w:type="pct"/>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Yu Mincho"/>
              </w:rPr>
              <w:t>15</w:t>
            </w:r>
          </w:p>
        </w:tc>
        <w:tc>
          <w:tcPr>
            <w:tcW w:w="358" w:type="pct"/>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c>
          <w:tcPr>
            <w:tcW w:w="358" w:type="pct"/>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34" w:type="pct"/>
            <w:tcBorders>
              <w:top w:val="single" w:color="FFFFFF" w:themeColor="background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777" w:type="pct"/>
            <w:tcBorders>
              <w:left w:val="single" w:color="000000" w:themeColor="text1" w:sz="4" w:space="0"/>
            </w:tcBorders>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Yu Mincho"/>
              </w:rPr>
              <w:t>30</w:t>
            </w: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c>
          <w:tcPr>
            <w:tcW w:w="358" w:type="pct"/>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Yu Mincho"/>
              </w:rPr>
              <w:t>10</w:t>
            </w:r>
          </w:p>
        </w:tc>
        <w:tc>
          <w:tcPr>
            <w:tcW w:w="358" w:type="pct"/>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Yu Mincho"/>
              </w:rPr>
              <w:t>15</w:t>
            </w:r>
          </w:p>
        </w:tc>
        <w:tc>
          <w:tcPr>
            <w:tcW w:w="358" w:type="pct"/>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c>
          <w:tcPr>
            <w:tcW w:w="358" w:type="pct"/>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4" w:type="pct"/>
            <w:tcBorders>
              <w:top w:val="single" w:color="auto" w:sz="4" w:space="0"/>
              <w:left w:val="single" w:color="auto" w:sz="4" w:space="0"/>
              <w:bottom w:val="nil"/>
              <w:right w:val="single" w:color="auto" w:sz="4" w:space="0"/>
            </w:tcBorders>
            <w:shd w:val="clear" w:color="auto" w:fill="auto"/>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n100</w:t>
            </w:r>
          </w:p>
        </w:tc>
        <w:tc>
          <w:tcPr>
            <w:tcW w:w="777" w:type="pct"/>
            <w:tcBorders>
              <w:left w:val="single" w:color="auto" w:sz="4" w:space="0"/>
            </w:tcBorders>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宋体"/>
              </w:rPr>
              <w:t>15</w:t>
            </w: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3</w:t>
            </w:r>
            <w:r>
              <w:rPr>
                <w:rFonts w:eastAsia="Yu Mincho"/>
                <w:vertAlign w:val="superscript"/>
              </w:rPr>
              <w:t>4</w:t>
            </w: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5</w:t>
            </w: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cs="Arial"/>
                <w:szCs w:val="18"/>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cs="Arial"/>
                <w:szCs w:val="18"/>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cs="Arial"/>
                <w:szCs w:val="18"/>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cs="Arial"/>
                <w:szCs w:val="18"/>
              </w:rPr>
            </w:pP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cs="Arial"/>
                <w:szCs w:val="18"/>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4" w:type="pct"/>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n106</w:t>
            </w:r>
          </w:p>
        </w:tc>
        <w:tc>
          <w:tcPr>
            <w:tcW w:w="777" w:type="pct"/>
            <w:tcBorders>
              <w:left w:val="single" w:color="auto" w:sz="4" w:space="0"/>
            </w:tcBorders>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r>
              <w:rPr>
                <w:rFonts w:eastAsia="宋体"/>
              </w:rPr>
              <w:t>15</w:t>
            </w: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3</w:t>
            </w: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宋体"/>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cs="Arial"/>
                <w:szCs w:val="18"/>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cs="Arial"/>
                <w:szCs w:val="18"/>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cs="Arial"/>
                <w:szCs w:val="18"/>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cs="Arial"/>
                <w:szCs w:val="18"/>
              </w:rPr>
            </w:pPr>
          </w:p>
        </w:tc>
        <w:tc>
          <w:tcPr>
            <w:tcW w:w="358" w:type="pct"/>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cs="Arial"/>
                <w:szCs w:val="18"/>
              </w:rPr>
            </w:pPr>
          </w:p>
        </w:tc>
        <w:tc>
          <w:tcPr>
            <w:tcW w:w="358" w:type="pct"/>
            <w:tcMar>
              <w:left w:w="28" w:type="dxa"/>
              <w:right w:w="28" w:type="dxa"/>
            </w:tcMar>
          </w:tcPr>
          <w:p>
            <w:pPr>
              <w:pStyle w:val="57"/>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Yu Mincho"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12"/>
            <w:tcBorders>
              <w:top w:val="single" w:color="auto" w:sz="4" w:space="0"/>
              <w:left w:val="single" w:color="auto" w:sz="4" w:space="0"/>
              <w:bottom w:val="single" w:color="auto" w:sz="4" w:space="0"/>
            </w:tcBorders>
            <w:shd w:val="clear" w:color="auto" w:fill="auto"/>
            <w:tcMar>
              <w:left w:w="28" w:type="dxa"/>
              <w:right w:w="28" w:type="dxa"/>
            </w:tcMar>
            <w:vAlign w:val="center"/>
          </w:tcPr>
          <w:p>
            <w:pPr>
              <w:pStyle w:val="70"/>
              <w:keepLines w:val="0"/>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cs="Arial"/>
                <w:szCs w:val="18"/>
                <w:lang w:eastAsia="zh-CN"/>
              </w:rPr>
            </w:pPr>
            <w:r>
              <w:rPr>
                <w:rFonts w:eastAsia="Yu Mincho"/>
              </w:rPr>
              <w:t>NOTE 4:</w:t>
            </w:r>
            <w:r>
              <w:rPr>
                <w:rFonts w:eastAsia="Yu Mincho"/>
              </w:rPr>
              <w:tab/>
            </w:r>
            <w:r>
              <w:rPr>
                <w:rFonts w:eastAsia="Yu Mincho"/>
              </w:rPr>
              <w:t>This UE channel bandwidth is optional in this release of the specification.</w:t>
            </w:r>
          </w:p>
        </w:tc>
      </w:tr>
    </w:tbl>
    <w:p>
      <w:pPr>
        <w:tabs>
          <w:tab w:val="left" w:pos="1811"/>
        </w:tabs>
        <w:bidi w:val="0"/>
        <w:rPr>
          <w:rFonts w:hint="eastAsia"/>
          <w:lang w:val="en-US" w:eastAsia="zh-CN"/>
        </w:rPr>
      </w:pPr>
      <w:r>
        <w:rPr>
          <w:rFonts w:hint="eastAsia"/>
          <w:lang w:val="en-US" w:eastAsia="zh-CN"/>
        </w:rPr>
        <w:t>In Rel-20, 3MHz also can be introduced as optional for (e)RedCap. Especially for band n106, it should be mandatory for (e)RedCap.</w:t>
      </w:r>
    </w:p>
    <w:p>
      <w:pPr>
        <w:bidi w:val="0"/>
        <w:rPr>
          <w:rFonts w:hint="default"/>
          <w:lang w:val="en-US"/>
        </w:rPr>
      </w:pPr>
      <w:r>
        <w:rPr>
          <w:rFonts w:hint="eastAsia"/>
          <w:b/>
          <w:bCs/>
          <w:sz w:val="20"/>
          <w:szCs w:val="18"/>
          <w:lang w:val="en-US" w:eastAsia="zh-CN"/>
        </w:rPr>
        <w:t>Proposal 1: In Rel-20, 3MHz can be introduced as optional for (e)RedCap, but mandatory for band n106.</w:t>
      </w:r>
    </w:p>
    <w:p>
      <w:pPr>
        <w:rPr>
          <w:rFonts w:hint="default"/>
          <w:sz w:val="20"/>
          <w:szCs w:val="18"/>
          <w:lang w:val="en-US" w:eastAsia="zh-CN"/>
        </w:rPr>
      </w:pPr>
      <w:r>
        <w:rPr>
          <w:rFonts w:hint="eastAsia"/>
          <w:sz w:val="20"/>
          <w:szCs w:val="18"/>
          <w:lang w:val="en-US" w:eastAsia="zh-CN"/>
        </w:rPr>
        <w:t xml:space="preserve">During Rel-18 less than 5MHz discussion, some capabilities were introduced, and all specified that </w:t>
      </w:r>
      <w:r>
        <w:rPr>
          <w:rFonts w:hint="default"/>
          <w:sz w:val="20"/>
          <w:szCs w:val="18"/>
          <w:lang w:val="en-US" w:eastAsia="zh-CN"/>
        </w:rPr>
        <w:t>“</w:t>
      </w:r>
      <w:r>
        <w:rPr>
          <w:rFonts w:hint="eastAsia"/>
          <w:sz w:val="20"/>
          <w:szCs w:val="18"/>
          <w:lang w:val="en-US" w:eastAsia="zh-CN"/>
        </w:rPr>
        <w:t>This feature is not applicable to UEs indicating supportOfRedCap-r17 or supportOfERedCap-r18</w:t>
      </w:r>
      <w:r>
        <w:rPr>
          <w:rFonts w:hint="default"/>
          <w:sz w:val="20"/>
          <w:szCs w:val="18"/>
          <w:lang w:val="en-US" w:eastAsia="zh-CN"/>
        </w:rPr>
        <w:t>”</w:t>
      </w:r>
      <w:r>
        <w:rPr>
          <w:rFonts w:hint="eastAsia"/>
          <w:sz w:val="20"/>
          <w:szCs w:val="18"/>
          <w:lang w:val="en-US" w:eastAsia="zh-CN"/>
        </w:rPr>
        <w:t xml:space="preserve"> . Additionally, in the WID, it states that “Support of less than 5 MHz channel bandwidth (15 PRB transmission bandwidth configuration and 12 PRB SSB)”. Hence, only 15PRB transmission bandwidth configuration related capabilities will be supported in (e)RedCap, which is shown in the following:</w:t>
      </w:r>
    </w:p>
    <w:tbl>
      <w:tblPr>
        <w:tblStyle w:val="23"/>
        <w:tblW w:w="5000" w:type="pct"/>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87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jc w:val="center"/>
        </w:trPr>
        <w:tc>
          <w:tcPr>
            <w:tcW w:w="5000" w:type="pct"/>
          </w:tcPr>
          <w:p>
            <w:pPr>
              <w:pStyle w:val="58"/>
              <w:keepNext w:val="0"/>
              <w:keepLines w:val="0"/>
              <w:pageBreakBefore w:val="0"/>
              <w:widowControl w:val="0"/>
              <w:kinsoku/>
              <w:wordWrap/>
              <w:overflowPunct/>
              <w:topLinePunct w:val="0"/>
              <w:autoSpaceDE/>
              <w:autoSpaceDN/>
              <w:bidi w:val="0"/>
              <w:adjustRightInd/>
              <w:snapToGrid/>
              <w:textAlignment w:val="auto"/>
              <w:rPr>
                <w:b/>
                <w:bCs/>
                <w:i/>
                <w:iCs/>
              </w:rPr>
            </w:pPr>
            <w:bookmarkStart w:id="11" w:name="_GoBack"/>
            <w:r>
              <w:rPr>
                <w:b/>
                <w:bCs/>
                <w:i/>
                <w:iCs/>
              </w:rPr>
              <w:t>support3MHz-ChannelBW-Asymmetric-r18</w:t>
            </w:r>
          </w:p>
          <w:p>
            <w:pPr>
              <w:pStyle w:val="58"/>
              <w:keepNext w:val="0"/>
              <w:keepLines w:val="0"/>
              <w:pageBreakBefore w:val="0"/>
              <w:widowControl w:val="0"/>
              <w:kinsoku/>
              <w:wordWrap/>
              <w:overflowPunct/>
              <w:topLinePunct w:val="0"/>
              <w:autoSpaceDE/>
              <w:autoSpaceDN/>
              <w:bidi w:val="0"/>
              <w:adjustRightInd/>
              <w:snapToGrid/>
              <w:textAlignment w:val="auto"/>
            </w:pPr>
            <w:r>
              <w:t>Indicates whether the UE supports 3 MHz channel bandwidth in uplink with larger than 3 MHz channel BW in DL, including s</w:t>
            </w:r>
            <w:r>
              <w:rPr>
                <w:rFonts w:eastAsia="宋体" w:cs="Arial"/>
                <w:szCs w:val="18"/>
                <w:lang w:eastAsia="zh-CN"/>
              </w:rPr>
              <w:t>hort RACH preamble formats with 15kHz SCS, and long PRACH formats with 1.25kHz SCS.</w:t>
            </w:r>
          </w:p>
          <w:p>
            <w:pPr>
              <w:pStyle w:val="58"/>
              <w:keepNext w:val="0"/>
              <w:keepLines w:val="0"/>
              <w:pageBreakBefore w:val="0"/>
              <w:widowControl w:val="0"/>
              <w:kinsoku/>
              <w:wordWrap/>
              <w:overflowPunct/>
              <w:topLinePunct w:val="0"/>
              <w:autoSpaceDE/>
              <w:autoSpaceDN/>
              <w:bidi w:val="0"/>
              <w:adjustRightInd/>
              <w:snapToGrid/>
              <w:textAlignment w:val="auto"/>
              <w:rPr>
                <w:szCs w:val="18"/>
              </w:rPr>
            </w:pPr>
            <w:r>
              <w:rPr>
                <w:szCs w:val="18"/>
              </w:rPr>
              <w:t xml:space="preserve">This feature is supported for 15kHz SCS only (except for the PRACH formats </w:t>
            </w:r>
            <w:r>
              <w:rPr>
                <w:rFonts w:eastAsia="宋体" w:cs="Arial"/>
                <w:szCs w:val="18"/>
                <w:lang w:eastAsia="zh-CN"/>
              </w:rPr>
              <w:t>with 1.25kHz SCS</w:t>
            </w:r>
            <w:r>
              <w:rPr>
                <w:szCs w:val="18"/>
              </w:rPr>
              <w:t xml:space="preserve">). It </w:t>
            </w:r>
            <w:r>
              <w:t xml:space="preserve">applies to bands where the UE indicates support for </w:t>
            </w:r>
            <w:r>
              <w:rPr>
                <w:i/>
                <w:iCs/>
              </w:rPr>
              <w:t>asymmetricBandwidthCombinationSet</w:t>
            </w:r>
            <w:r>
              <w:t xml:space="preserve"> with 3 MHz UL according to clause 5.3.6 of TS 38.101-1 </w:t>
            </w:r>
            <w:r>
              <w:rPr>
                <w:szCs w:val="18"/>
              </w:rPr>
              <w:t>[2].</w:t>
            </w:r>
          </w:p>
          <w:p>
            <w:pPr>
              <w:pStyle w:val="58"/>
              <w:keepNext w:val="0"/>
              <w:keepLines w:val="0"/>
              <w:pageBreakBefore w:val="0"/>
              <w:widowControl w:val="0"/>
              <w:kinsoku/>
              <w:wordWrap/>
              <w:overflowPunct/>
              <w:topLinePunct w:val="0"/>
              <w:autoSpaceDE/>
              <w:autoSpaceDN/>
              <w:bidi w:val="0"/>
              <w:adjustRightInd/>
              <w:snapToGrid/>
              <w:textAlignment w:val="auto"/>
              <w:rPr>
                <w:szCs w:val="18"/>
                <w:highlight w:val="yellow"/>
              </w:rPr>
            </w:pPr>
            <w:r>
              <w:rPr>
                <w:szCs w:val="18"/>
                <w:highlight w:val="yellow"/>
              </w:rPr>
              <w:t xml:space="preserve">This feature is not applicable to UEs indicating </w:t>
            </w:r>
            <w:r>
              <w:rPr>
                <w:i/>
                <w:iCs/>
                <w:szCs w:val="18"/>
                <w:highlight w:val="yellow"/>
              </w:rPr>
              <w:t>supportOfRedCap-r17</w:t>
            </w:r>
            <w:r>
              <w:rPr>
                <w:szCs w:val="18"/>
                <w:highlight w:val="yellow"/>
              </w:rPr>
              <w:t xml:space="preserve"> or </w:t>
            </w:r>
            <w:r>
              <w:rPr>
                <w:i/>
                <w:iCs/>
                <w:szCs w:val="18"/>
                <w:highlight w:val="yellow"/>
              </w:rPr>
              <w:t>supportOfERedCap-r18</w:t>
            </w:r>
            <w:r>
              <w:rPr>
                <w:szCs w:val="18"/>
                <w:highlight w:val="yellow"/>
              </w:rPr>
              <w:t>.</w:t>
            </w:r>
          </w:p>
          <w:p>
            <w:pPr>
              <w:pStyle w:val="70"/>
              <w:keepNext w:val="0"/>
              <w:keepLines w:val="0"/>
              <w:pageBreakBefore w:val="0"/>
              <w:widowControl w:val="0"/>
              <w:kinsoku/>
              <w:wordWrap/>
              <w:overflowPunct/>
              <w:topLinePunct w:val="0"/>
              <w:autoSpaceDE/>
              <w:autoSpaceDN/>
              <w:bidi w:val="0"/>
              <w:adjustRightInd/>
              <w:snapToGrid/>
              <w:textAlignment w:val="auto"/>
            </w:pPr>
          </w:p>
          <w:p>
            <w:pPr>
              <w:pStyle w:val="70"/>
              <w:keepNext w:val="0"/>
              <w:keepLines w:val="0"/>
              <w:pageBreakBefore w:val="0"/>
              <w:widowControl w:val="0"/>
              <w:kinsoku/>
              <w:wordWrap/>
              <w:overflowPunct/>
              <w:topLinePunct w:val="0"/>
              <w:autoSpaceDE/>
              <w:autoSpaceDN/>
              <w:bidi w:val="0"/>
              <w:adjustRightInd/>
              <w:snapToGrid/>
              <w:textAlignment w:val="auto"/>
            </w:pPr>
            <w:r>
              <w:t>NOTE 1:</w:t>
            </w:r>
            <w:r>
              <w:rPr>
                <w:rFonts w:cs="Arial"/>
                <w:szCs w:val="18"/>
              </w:rPr>
              <w:tab/>
            </w:r>
            <w:r>
              <w:t>The UE supporting this feature supports configuration of 15 PRB UL BWP operation.</w:t>
            </w:r>
          </w:p>
          <w:p>
            <w:pPr>
              <w:pStyle w:val="70"/>
              <w:keepNext w:val="0"/>
              <w:keepLines w:val="0"/>
              <w:pageBreakBefore w:val="0"/>
              <w:widowControl w:val="0"/>
              <w:kinsoku/>
              <w:wordWrap/>
              <w:overflowPunct/>
              <w:topLinePunct w:val="0"/>
              <w:autoSpaceDE/>
              <w:autoSpaceDN/>
              <w:bidi w:val="0"/>
              <w:adjustRightInd/>
              <w:snapToGrid/>
              <w:textAlignment w:val="auto"/>
              <w:rPr>
                <w:b/>
                <w:bCs/>
                <w:i/>
                <w:iCs/>
              </w:rPr>
            </w:pPr>
            <w:r>
              <w:t>NOTE 2:</w:t>
            </w:r>
            <w:r>
              <w:rPr>
                <w:rFonts w:cs="Arial"/>
                <w:szCs w:val="18"/>
              </w:rPr>
              <w:tab/>
            </w:r>
            <w:r>
              <w:t xml:space="preserve">If the UE indicates support in </w:t>
            </w:r>
            <w:r>
              <w:rPr>
                <w:i/>
                <w:iCs/>
              </w:rPr>
              <w:t>asymmetricBandwidthCombinationSet</w:t>
            </w:r>
            <w:r>
              <w:t xml:space="preserve"> for a 3MHz UL in a band according to clause 5.3.6 of 38.101-1 [2], this feature shall be indicated for the band.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jc w:val="center"/>
        </w:trPr>
        <w:tc>
          <w:tcPr>
            <w:tcW w:w="5000" w:type="pct"/>
          </w:tcPr>
          <w:p>
            <w:pPr>
              <w:pStyle w:val="58"/>
              <w:keepNext w:val="0"/>
              <w:keepLines w:val="0"/>
              <w:pageBreakBefore w:val="0"/>
              <w:widowControl w:val="0"/>
              <w:kinsoku/>
              <w:wordWrap/>
              <w:overflowPunct/>
              <w:topLinePunct w:val="0"/>
              <w:autoSpaceDE/>
              <w:autoSpaceDN/>
              <w:bidi w:val="0"/>
              <w:adjustRightInd/>
              <w:snapToGrid/>
              <w:textAlignment w:val="auto"/>
              <w:rPr>
                <w:b/>
                <w:bCs/>
                <w:i/>
                <w:iCs/>
              </w:rPr>
            </w:pPr>
            <w:r>
              <w:rPr>
                <w:b/>
                <w:bCs/>
                <w:i/>
                <w:iCs/>
              </w:rPr>
              <w:t>support3MHz-ChannelBW-Symmetric-r18</w:t>
            </w:r>
          </w:p>
          <w:p>
            <w:pPr>
              <w:pStyle w:val="58"/>
              <w:keepNext w:val="0"/>
              <w:keepLines w:val="0"/>
              <w:pageBreakBefore w:val="0"/>
              <w:widowControl w:val="0"/>
              <w:kinsoku/>
              <w:wordWrap/>
              <w:overflowPunct/>
              <w:topLinePunct w:val="0"/>
              <w:autoSpaceDE/>
              <w:autoSpaceDN/>
              <w:bidi w:val="0"/>
              <w:adjustRightInd/>
              <w:snapToGrid/>
              <w:textAlignment w:val="auto"/>
            </w:pPr>
            <w:r>
              <w:t>Indicates whether the UE supports 3 MHz symmetric channel bandwidth in DL and UL, including the following functional components:</w:t>
            </w:r>
          </w:p>
          <w:p>
            <w:pPr>
              <w:pStyle w:val="47"/>
              <w:keepNext w:val="0"/>
              <w:keepLines w:val="0"/>
              <w:pageBreakBefore w:val="0"/>
              <w:widowControl w:val="0"/>
              <w:kinsoku/>
              <w:wordWrap/>
              <w:overflowPunct/>
              <w:topLinePunct w:val="0"/>
              <w:autoSpaceDE/>
              <w:autoSpaceDN/>
              <w:bidi w:val="0"/>
              <w:adjustRightInd/>
              <w:snapToGrid/>
              <w:spacing w:after="0"/>
              <w:textAlignment w:val="auto"/>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sz w:val="18"/>
                <w:szCs w:val="18"/>
              </w:rPr>
              <w:t>Reception of 12 PRB PBCH based on RB-level puncturing;</w:t>
            </w:r>
          </w:p>
          <w:p>
            <w:pPr>
              <w:pStyle w:val="47"/>
              <w:keepNext w:val="0"/>
              <w:keepLines w:val="0"/>
              <w:pageBreakBefore w:val="0"/>
              <w:widowControl w:val="0"/>
              <w:kinsoku/>
              <w:wordWrap/>
              <w:overflowPunct/>
              <w:topLinePunct w:val="0"/>
              <w:autoSpaceDE/>
              <w:autoSpaceDN/>
              <w:bidi w:val="0"/>
              <w:adjustRightInd/>
              <w:snapToGrid/>
              <w:spacing w:after="0"/>
              <w:textAlignment w:val="auto"/>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sz w:val="18"/>
                <w:szCs w:val="18"/>
              </w:rPr>
              <w:t>Short RACH preamble formats with 15kHz SCS, and long PRACH formats with 1.25kHz SCS;</w:t>
            </w:r>
          </w:p>
          <w:p>
            <w:pPr>
              <w:pStyle w:val="47"/>
              <w:keepNext w:val="0"/>
              <w:keepLines w:val="0"/>
              <w:pageBreakBefore w:val="0"/>
              <w:widowControl w:val="0"/>
              <w:kinsoku/>
              <w:wordWrap/>
              <w:overflowPunct/>
              <w:topLinePunct w:val="0"/>
              <w:autoSpaceDE/>
              <w:autoSpaceDN/>
              <w:bidi w:val="0"/>
              <w:adjustRightInd/>
              <w:snapToGrid/>
              <w:spacing w:after="0"/>
              <w:textAlignment w:val="auto"/>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sz w:val="18"/>
                <w:szCs w:val="18"/>
              </w:rPr>
              <w:t>Reception of 15 PRB CORESET0.</w:t>
            </w:r>
          </w:p>
          <w:p>
            <w:pPr>
              <w:pStyle w:val="58"/>
              <w:keepNext w:val="0"/>
              <w:keepLines w:val="0"/>
              <w:pageBreakBefore w:val="0"/>
              <w:widowControl w:val="0"/>
              <w:kinsoku/>
              <w:wordWrap/>
              <w:overflowPunct/>
              <w:topLinePunct w:val="0"/>
              <w:autoSpaceDE/>
              <w:autoSpaceDN/>
              <w:bidi w:val="0"/>
              <w:adjustRightInd/>
              <w:snapToGrid/>
              <w:textAlignment w:val="auto"/>
              <w:rPr>
                <w:szCs w:val="18"/>
              </w:rPr>
            </w:pPr>
            <w:r>
              <w:rPr>
                <w:szCs w:val="18"/>
              </w:rPr>
              <w:t xml:space="preserve">This feature is supported for 15kHz SCS only (except for the PRACH formats </w:t>
            </w:r>
            <w:r>
              <w:rPr>
                <w:rFonts w:eastAsia="宋体" w:cs="Arial"/>
                <w:szCs w:val="18"/>
                <w:lang w:eastAsia="zh-CN"/>
              </w:rPr>
              <w:t>with 1.25kHz SCS</w:t>
            </w:r>
            <w:r>
              <w:rPr>
                <w:szCs w:val="18"/>
              </w:rPr>
              <w:t>). It is applicable when an associated SS/PBCH block is located according to Table 5.4.3.3-2 in TS 38.101-1 [2].</w:t>
            </w:r>
          </w:p>
          <w:p>
            <w:pPr>
              <w:pStyle w:val="58"/>
              <w:keepNext w:val="0"/>
              <w:keepLines w:val="0"/>
              <w:pageBreakBefore w:val="0"/>
              <w:widowControl w:val="0"/>
              <w:kinsoku/>
              <w:wordWrap/>
              <w:overflowPunct/>
              <w:topLinePunct w:val="0"/>
              <w:autoSpaceDE/>
              <w:autoSpaceDN/>
              <w:bidi w:val="0"/>
              <w:adjustRightInd/>
              <w:snapToGrid/>
              <w:textAlignment w:val="auto"/>
              <w:rPr>
                <w:szCs w:val="18"/>
              </w:rPr>
            </w:pPr>
          </w:p>
          <w:p>
            <w:pPr>
              <w:pStyle w:val="58"/>
              <w:keepNext w:val="0"/>
              <w:keepLines w:val="0"/>
              <w:pageBreakBefore w:val="0"/>
              <w:widowControl w:val="0"/>
              <w:kinsoku/>
              <w:wordWrap/>
              <w:overflowPunct/>
              <w:topLinePunct w:val="0"/>
              <w:autoSpaceDE/>
              <w:autoSpaceDN/>
              <w:bidi w:val="0"/>
              <w:adjustRightInd/>
              <w:snapToGrid/>
              <w:textAlignment w:val="auto"/>
              <w:rPr>
                <w:szCs w:val="18"/>
                <w:highlight w:val="yellow"/>
              </w:rPr>
            </w:pPr>
            <w:r>
              <w:rPr>
                <w:szCs w:val="18"/>
                <w:highlight w:val="yellow"/>
              </w:rPr>
              <w:t xml:space="preserve">This feature is not applicable to UEs indicating </w:t>
            </w:r>
            <w:r>
              <w:rPr>
                <w:i/>
                <w:iCs/>
                <w:szCs w:val="18"/>
                <w:highlight w:val="yellow"/>
              </w:rPr>
              <w:t>supportOfRedCap-r17</w:t>
            </w:r>
            <w:r>
              <w:rPr>
                <w:szCs w:val="18"/>
                <w:highlight w:val="yellow"/>
              </w:rPr>
              <w:t xml:space="preserve"> or </w:t>
            </w:r>
            <w:r>
              <w:rPr>
                <w:i/>
                <w:iCs/>
                <w:szCs w:val="18"/>
                <w:highlight w:val="yellow"/>
              </w:rPr>
              <w:t>supportOfERedCap-r18</w:t>
            </w:r>
            <w:r>
              <w:rPr>
                <w:szCs w:val="18"/>
                <w:highlight w:val="yellow"/>
              </w:rPr>
              <w:t>.</w:t>
            </w:r>
          </w:p>
          <w:p>
            <w:pPr>
              <w:pStyle w:val="58"/>
              <w:keepNext w:val="0"/>
              <w:keepLines w:val="0"/>
              <w:pageBreakBefore w:val="0"/>
              <w:widowControl w:val="0"/>
              <w:kinsoku/>
              <w:wordWrap/>
              <w:overflowPunct/>
              <w:topLinePunct w:val="0"/>
              <w:autoSpaceDE/>
              <w:autoSpaceDN/>
              <w:bidi w:val="0"/>
              <w:adjustRightInd/>
              <w:snapToGrid/>
              <w:textAlignment w:val="auto"/>
              <w:rPr>
                <w:szCs w:val="18"/>
              </w:rPr>
            </w:pPr>
          </w:p>
          <w:p>
            <w:pPr>
              <w:pStyle w:val="70"/>
              <w:keepNext w:val="0"/>
              <w:keepLines w:val="0"/>
              <w:pageBreakBefore w:val="0"/>
              <w:widowControl w:val="0"/>
              <w:kinsoku/>
              <w:wordWrap/>
              <w:overflowPunct/>
              <w:topLinePunct w:val="0"/>
              <w:autoSpaceDE/>
              <w:autoSpaceDN/>
              <w:bidi w:val="0"/>
              <w:adjustRightInd/>
              <w:snapToGrid/>
              <w:textAlignment w:val="auto"/>
              <w:rPr>
                <w:b/>
                <w:bCs/>
                <w:i/>
                <w:iCs/>
              </w:rPr>
            </w:pPr>
            <w:r>
              <w:t>NOTE:</w:t>
            </w:r>
            <w:r>
              <w:rPr>
                <w:rFonts w:cs="Arial"/>
                <w:szCs w:val="18"/>
              </w:rPr>
              <w:tab/>
            </w:r>
            <w:r>
              <w:t>The UE supporting this capability supports configuration of 15 PRB BWP operation in DL and UL.</w:t>
            </w:r>
          </w:p>
        </w:tc>
      </w:tr>
    </w:tbl>
    <w:p>
      <w:pPr>
        <w:keepNext w:val="0"/>
        <w:keepLines w:val="0"/>
        <w:pageBreakBefore w:val="0"/>
        <w:widowControl w:val="0"/>
        <w:kinsoku/>
        <w:wordWrap/>
        <w:overflowPunct/>
        <w:topLinePunct w:val="0"/>
        <w:autoSpaceDE/>
        <w:autoSpaceDN/>
        <w:bidi w:val="0"/>
        <w:adjustRightInd/>
        <w:snapToGrid/>
        <w:textAlignment w:val="auto"/>
        <w:rPr>
          <w:rFonts w:hint="default"/>
          <w:sz w:val="20"/>
          <w:szCs w:val="20"/>
          <w:lang w:val="en-US" w:eastAsia="zh-CN"/>
        </w:rPr>
      </w:pPr>
      <w:r>
        <w:rPr>
          <w:rFonts w:hint="eastAsia"/>
          <w:sz w:val="20"/>
          <w:szCs w:val="20"/>
          <w:lang w:val="en-US" w:eastAsia="zh-CN"/>
        </w:rPr>
        <w:t>To support less than 5MHz channel bandwidth for (e)RedCap UEs, the following capabilities need to be updated:</w:t>
      </w:r>
    </w:p>
    <w:p>
      <w:pPr>
        <w:pStyle w:val="58"/>
        <w:keepNext w:val="0"/>
        <w:keepLines w:val="0"/>
        <w:pageBreakBefore w:val="0"/>
        <w:widowControl w:val="0"/>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support3MHz-ChannelBW-Asymmetric-r18</w:t>
      </w:r>
    </w:p>
    <w:p>
      <w:pPr>
        <w:pStyle w:val="58"/>
        <w:keepNext w:val="0"/>
        <w:keepLines w:val="0"/>
        <w:pageBreakBefore w:val="0"/>
        <w:widowControl w:val="0"/>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support3MHz-ChannelBW-Symmetric-r18</w:t>
      </w:r>
    </w:p>
    <w:p>
      <w:pPr>
        <w:keepNext w:val="0"/>
        <w:keepLines w:val="0"/>
        <w:pageBreakBefore w:val="0"/>
        <w:widowControl w:val="0"/>
        <w:kinsoku/>
        <w:wordWrap/>
        <w:overflowPunct/>
        <w:topLinePunct w:val="0"/>
        <w:autoSpaceDE/>
        <w:autoSpaceDN/>
        <w:bidi w:val="0"/>
        <w:adjustRightInd/>
        <w:snapToGrid/>
        <w:textAlignment w:val="auto"/>
        <w:rPr>
          <w:rFonts w:hint="eastAsia"/>
          <w:b/>
          <w:bCs/>
          <w:i w:val="0"/>
          <w:iCs w:val="0"/>
          <w:sz w:val="20"/>
          <w:szCs w:val="20"/>
          <w:lang w:val="en-US" w:eastAsia="zh-CN"/>
        </w:rPr>
      </w:pPr>
      <w:r>
        <w:rPr>
          <w:rFonts w:hint="eastAsia"/>
          <w:b/>
          <w:bCs/>
          <w:i w:val="0"/>
          <w:iCs w:val="0"/>
          <w:sz w:val="20"/>
          <w:szCs w:val="20"/>
          <w:lang w:val="en-US" w:eastAsia="zh-CN"/>
        </w:rPr>
        <w:t>Proposal 2: To support less than 5MHz channel bandwidth for (e)RedCap UEs, the following capabilities need to be updated:</w:t>
      </w:r>
    </w:p>
    <w:p>
      <w:pPr>
        <w:pStyle w:val="58"/>
        <w:keepNext w:val="0"/>
        <w:keepLines w:val="0"/>
        <w:pageBreakBefore w:val="0"/>
        <w:widowControl w:val="0"/>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support3MHz-ChannelBW-Asymmetric-r18</w:t>
      </w:r>
    </w:p>
    <w:p>
      <w:pPr>
        <w:pStyle w:val="58"/>
        <w:keepNext w:val="0"/>
        <w:keepLines w:val="0"/>
        <w:pageBreakBefore w:val="0"/>
        <w:widowControl w:val="0"/>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support3MHz-ChannelBW-Symmetric-r18</w:t>
      </w:r>
    </w:p>
    <w:p>
      <w:pPr>
        <w:keepNext w:val="0"/>
        <w:keepLines w:val="0"/>
        <w:pageBreakBefore w:val="0"/>
        <w:widowControl w:val="0"/>
        <w:kinsoku/>
        <w:wordWrap/>
        <w:overflowPunct/>
        <w:topLinePunct w:val="0"/>
        <w:autoSpaceDE/>
        <w:autoSpaceDN/>
        <w:bidi w:val="0"/>
        <w:adjustRightInd/>
        <w:snapToGrid/>
        <w:textAlignment w:val="auto"/>
        <w:rPr>
          <w:rFonts w:hint="eastAsia"/>
          <w:b/>
          <w:bCs/>
          <w:i w:val="0"/>
          <w:iCs w:val="0"/>
          <w:sz w:val="20"/>
          <w:szCs w:val="20"/>
          <w:lang w:val="en-US" w:eastAsia="zh-CN"/>
        </w:rPr>
      </w:pPr>
    </w:p>
    <w:p>
      <w:pPr>
        <w:keepNext w:val="0"/>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 xml:space="preserve">for </w:t>
      </w:r>
      <w:r>
        <w:rPr>
          <w:rFonts w:hint="eastAsia"/>
          <w:i w:val="0"/>
          <w:iCs w:val="0"/>
          <w:sz w:val="20"/>
          <w:szCs w:val="20"/>
          <w:lang w:val="en-US" w:eastAsia="zh-CN"/>
        </w:rPr>
        <w:t xml:space="preserve">(e)RedCap UE enhancement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textAlignment w:val="auto"/>
        <w:rPr>
          <w:rFonts w:hint="default"/>
          <w:lang w:val="en-US"/>
        </w:rPr>
      </w:pPr>
      <w:r>
        <w:rPr>
          <w:rFonts w:hint="eastAsia"/>
          <w:b/>
          <w:bCs/>
          <w:sz w:val="20"/>
          <w:szCs w:val="18"/>
          <w:lang w:val="en-US" w:eastAsia="zh-CN"/>
        </w:rPr>
        <w:t>Proposal 1: In Rel-20, 3MHz can be introduced as optional for (e)RedCap, but mandatory for band n106.</w:t>
      </w:r>
    </w:p>
    <w:p>
      <w:pPr>
        <w:keepNext w:val="0"/>
        <w:keepLines w:val="0"/>
        <w:pageBreakBefore w:val="0"/>
        <w:widowControl w:val="0"/>
        <w:kinsoku/>
        <w:wordWrap/>
        <w:overflowPunct/>
        <w:topLinePunct w:val="0"/>
        <w:autoSpaceDE/>
        <w:autoSpaceDN/>
        <w:bidi w:val="0"/>
        <w:adjustRightInd/>
        <w:snapToGrid/>
        <w:textAlignment w:val="auto"/>
        <w:rPr>
          <w:rFonts w:hint="eastAsia"/>
          <w:b/>
          <w:bCs/>
          <w:i w:val="0"/>
          <w:iCs w:val="0"/>
          <w:sz w:val="20"/>
          <w:szCs w:val="20"/>
          <w:lang w:val="en-US" w:eastAsia="zh-CN"/>
        </w:rPr>
      </w:pPr>
      <w:r>
        <w:rPr>
          <w:rFonts w:hint="eastAsia"/>
          <w:b/>
          <w:bCs/>
          <w:i w:val="0"/>
          <w:iCs w:val="0"/>
          <w:sz w:val="20"/>
          <w:szCs w:val="20"/>
          <w:lang w:val="en-US" w:eastAsia="zh-CN"/>
        </w:rPr>
        <w:t>Proposal 2: To support less than 5MHz channel bandwidth for (e)RedCap UEs, the following capabilities need to be updated:</w:t>
      </w:r>
    </w:p>
    <w:p>
      <w:pPr>
        <w:pStyle w:val="58"/>
        <w:keepNext w:val="0"/>
        <w:keepLines w:val="0"/>
        <w:pageBreakBefore w:val="0"/>
        <w:widowControl w:val="0"/>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support3MHz-ChannelBW-Asymmetric-r18</w:t>
      </w:r>
    </w:p>
    <w:p>
      <w:pPr>
        <w:pStyle w:val="58"/>
        <w:keepNext w:val="0"/>
        <w:keepLines w:val="0"/>
        <w:pageBreakBefore w:val="0"/>
        <w:widowControl w:val="0"/>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support3MHz-ChannelBW-Symmetric-r18</w:t>
      </w:r>
    </w:p>
    <w:p>
      <w:pPr>
        <w:keepNext w:val="0"/>
        <w:keepLines w:val="0"/>
        <w:pageBreakBefore w:val="0"/>
        <w:widowControl w:val="0"/>
        <w:kinsoku/>
        <w:wordWrap/>
        <w:overflowPunct/>
        <w:topLinePunct w:val="0"/>
        <w:autoSpaceDE/>
        <w:autoSpaceDN/>
        <w:bidi w:val="0"/>
        <w:adjustRightInd/>
        <w:snapToGrid/>
        <w:textAlignment w:val="auto"/>
        <w:rPr>
          <w:rFonts w:hint="eastAsia"/>
          <w:b/>
          <w:bCs/>
          <w:i w:val="0"/>
          <w:iCs w:val="0"/>
          <w:sz w:val="20"/>
          <w:szCs w:val="20"/>
          <w:lang w:val="en-US" w:eastAsia="zh-CN"/>
        </w:rPr>
      </w:pPr>
    </w:p>
    <w:p>
      <w:pPr>
        <w:keepNext w:val="0"/>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val="0"/>
        <w:keepLines w:val="0"/>
        <w:pageBreakBefore w:val="0"/>
        <w:widowControl w:val="0"/>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RP-252955, WID: NR Radio Resource Management (RRM) Phase 6, Apple</w:t>
      </w:r>
    </w:p>
    <w:p>
      <w:pPr>
        <w:keepNext w:val="0"/>
        <w:keepLines w:val="0"/>
        <w:pageBreakBefore w:val="0"/>
        <w:widowControl w:val="0"/>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val="0"/>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bookmarkEnd w:id="11"/>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5F723A5E"/>
    <w:multiLevelType w:val="singleLevel"/>
    <w:tmpl w:val="5F723A5E"/>
    <w:lvl w:ilvl="0" w:tentative="0">
      <w:start w:val="1"/>
      <w:numFmt w:val="decimal"/>
      <w:suff w:val="space"/>
      <w:lvlText w:val="[%1]"/>
      <w:lvlJc w:val="left"/>
    </w:lvl>
  </w:abstractNum>
  <w:abstractNum w:abstractNumId="7">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7"/>
  </w:num>
  <w:num w:numId="3">
    <w:abstractNumId w:val="5"/>
  </w:num>
  <w:num w:numId="4">
    <w:abstractNumId w:val="3"/>
  </w:num>
  <w:num w:numId="5">
    <w:abstractNumId w:val="4"/>
  </w:num>
  <w:num w:numId="6">
    <w:abstractNumId w:val="1"/>
  </w:num>
  <w:num w:numId="7">
    <w:abstractNumId w:val="0"/>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4E7C"/>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847E6"/>
    <w:rsid w:val="027F646E"/>
    <w:rsid w:val="027F64CF"/>
    <w:rsid w:val="02867DB1"/>
    <w:rsid w:val="028F6D4C"/>
    <w:rsid w:val="02926AD9"/>
    <w:rsid w:val="02933CBB"/>
    <w:rsid w:val="02951DBD"/>
    <w:rsid w:val="02976D78"/>
    <w:rsid w:val="02983E12"/>
    <w:rsid w:val="029A69A7"/>
    <w:rsid w:val="029B04E7"/>
    <w:rsid w:val="02A10998"/>
    <w:rsid w:val="02AB0FBC"/>
    <w:rsid w:val="02AE6812"/>
    <w:rsid w:val="02C44392"/>
    <w:rsid w:val="02D16C80"/>
    <w:rsid w:val="02DC3F9C"/>
    <w:rsid w:val="02E226C9"/>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5B75B6"/>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671D"/>
    <w:rsid w:val="04305EA0"/>
    <w:rsid w:val="04310833"/>
    <w:rsid w:val="04343921"/>
    <w:rsid w:val="04346443"/>
    <w:rsid w:val="043865BF"/>
    <w:rsid w:val="043A14AD"/>
    <w:rsid w:val="044C78D8"/>
    <w:rsid w:val="04537B11"/>
    <w:rsid w:val="04557675"/>
    <w:rsid w:val="04647533"/>
    <w:rsid w:val="04684A28"/>
    <w:rsid w:val="046C0EAE"/>
    <w:rsid w:val="04774107"/>
    <w:rsid w:val="04782230"/>
    <w:rsid w:val="0479507E"/>
    <w:rsid w:val="04894975"/>
    <w:rsid w:val="04922411"/>
    <w:rsid w:val="04A65723"/>
    <w:rsid w:val="04B14B03"/>
    <w:rsid w:val="04CF6607"/>
    <w:rsid w:val="04D46535"/>
    <w:rsid w:val="04D55F04"/>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4E3838"/>
    <w:rsid w:val="0654187C"/>
    <w:rsid w:val="065475DE"/>
    <w:rsid w:val="06556C03"/>
    <w:rsid w:val="06676354"/>
    <w:rsid w:val="066E5330"/>
    <w:rsid w:val="06782F84"/>
    <w:rsid w:val="067C28D6"/>
    <w:rsid w:val="067F5F89"/>
    <w:rsid w:val="068A55C2"/>
    <w:rsid w:val="068E06BC"/>
    <w:rsid w:val="069201CB"/>
    <w:rsid w:val="06956E2E"/>
    <w:rsid w:val="06AC7765"/>
    <w:rsid w:val="06B62C91"/>
    <w:rsid w:val="06B741D9"/>
    <w:rsid w:val="06B756E7"/>
    <w:rsid w:val="06C457B6"/>
    <w:rsid w:val="06CA5532"/>
    <w:rsid w:val="06CD4A70"/>
    <w:rsid w:val="06D27891"/>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7F11D5F"/>
    <w:rsid w:val="080124E3"/>
    <w:rsid w:val="08030E27"/>
    <w:rsid w:val="080C7FA0"/>
    <w:rsid w:val="080F0F47"/>
    <w:rsid w:val="08193C24"/>
    <w:rsid w:val="082A7098"/>
    <w:rsid w:val="08334B3D"/>
    <w:rsid w:val="08341060"/>
    <w:rsid w:val="08732D34"/>
    <w:rsid w:val="08787FF0"/>
    <w:rsid w:val="087C4B7B"/>
    <w:rsid w:val="08824DF0"/>
    <w:rsid w:val="0882652A"/>
    <w:rsid w:val="0889002B"/>
    <w:rsid w:val="08991502"/>
    <w:rsid w:val="089B79D9"/>
    <w:rsid w:val="08A44DA6"/>
    <w:rsid w:val="08AA245A"/>
    <w:rsid w:val="08AD2ACC"/>
    <w:rsid w:val="08AF46A5"/>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0F4EB2"/>
    <w:rsid w:val="0B1A6333"/>
    <w:rsid w:val="0B267BFC"/>
    <w:rsid w:val="0B2713F4"/>
    <w:rsid w:val="0B334367"/>
    <w:rsid w:val="0B3626D0"/>
    <w:rsid w:val="0B3B1BC1"/>
    <w:rsid w:val="0B3B5196"/>
    <w:rsid w:val="0B3D701F"/>
    <w:rsid w:val="0B3E7DD7"/>
    <w:rsid w:val="0B491629"/>
    <w:rsid w:val="0B4B40F9"/>
    <w:rsid w:val="0B5407E7"/>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3B2E96"/>
    <w:rsid w:val="0C43327D"/>
    <w:rsid w:val="0C4426AF"/>
    <w:rsid w:val="0C453647"/>
    <w:rsid w:val="0C4577EC"/>
    <w:rsid w:val="0C4F3B0E"/>
    <w:rsid w:val="0C4F7881"/>
    <w:rsid w:val="0C5A77EA"/>
    <w:rsid w:val="0C5C6396"/>
    <w:rsid w:val="0C63431B"/>
    <w:rsid w:val="0C650A20"/>
    <w:rsid w:val="0C690EFA"/>
    <w:rsid w:val="0C6E11B8"/>
    <w:rsid w:val="0C723CD1"/>
    <w:rsid w:val="0C7754BE"/>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7F7318"/>
    <w:rsid w:val="0D883C88"/>
    <w:rsid w:val="0D8A6002"/>
    <w:rsid w:val="0D9074CF"/>
    <w:rsid w:val="0D936E72"/>
    <w:rsid w:val="0D966BF7"/>
    <w:rsid w:val="0DB54F84"/>
    <w:rsid w:val="0DB84465"/>
    <w:rsid w:val="0DC43470"/>
    <w:rsid w:val="0DC725FF"/>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5B5700"/>
    <w:rsid w:val="0E5B601F"/>
    <w:rsid w:val="0E6271DF"/>
    <w:rsid w:val="0E6438B9"/>
    <w:rsid w:val="0E6508AA"/>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2D0B0D"/>
    <w:rsid w:val="0F337178"/>
    <w:rsid w:val="0F3B15FC"/>
    <w:rsid w:val="0F41022A"/>
    <w:rsid w:val="0F56743B"/>
    <w:rsid w:val="0F60682C"/>
    <w:rsid w:val="0F661944"/>
    <w:rsid w:val="0F6763D9"/>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74C84"/>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0744E2"/>
    <w:rsid w:val="11123EF8"/>
    <w:rsid w:val="11124F2E"/>
    <w:rsid w:val="11125358"/>
    <w:rsid w:val="111F38A5"/>
    <w:rsid w:val="111F6CBE"/>
    <w:rsid w:val="112D2A42"/>
    <w:rsid w:val="113A22DB"/>
    <w:rsid w:val="113B248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DA4653"/>
    <w:rsid w:val="11E023FA"/>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D7D92"/>
    <w:rsid w:val="124E44B4"/>
    <w:rsid w:val="126532DD"/>
    <w:rsid w:val="12680E73"/>
    <w:rsid w:val="12763466"/>
    <w:rsid w:val="127C144F"/>
    <w:rsid w:val="127E5AA6"/>
    <w:rsid w:val="12811F99"/>
    <w:rsid w:val="128B2749"/>
    <w:rsid w:val="128E1E81"/>
    <w:rsid w:val="129019B5"/>
    <w:rsid w:val="129811DB"/>
    <w:rsid w:val="12984F0E"/>
    <w:rsid w:val="129937EE"/>
    <w:rsid w:val="129E6282"/>
    <w:rsid w:val="129F3A3A"/>
    <w:rsid w:val="12AA684B"/>
    <w:rsid w:val="12AA7237"/>
    <w:rsid w:val="12AB7A32"/>
    <w:rsid w:val="12BB6535"/>
    <w:rsid w:val="12BF2B94"/>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82013"/>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A502D0"/>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184305"/>
    <w:rsid w:val="19254172"/>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CF3820"/>
    <w:rsid w:val="19E24986"/>
    <w:rsid w:val="19E256B5"/>
    <w:rsid w:val="19E54655"/>
    <w:rsid w:val="19F061A1"/>
    <w:rsid w:val="19F81E45"/>
    <w:rsid w:val="1A054259"/>
    <w:rsid w:val="1A081816"/>
    <w:rsid w:val="1A0C5680"/>
    <w:rsid w:val="1A165171"/>
    <w:rsid w:val="1A3068A4"/>
    <w:rsid w:val="1A352E58"/>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13C87"/>
    <w:rsid w:val="1ACF5EB8"/>
    <w:rsid w:val="1AD26086"/>
    <w:rsid w:val="1ADD5ACE"/>
    <w:rsid w:val="1AE013F8"/>
    <w:rsid w:val="1AE8570C"/>
    <w:rsid w:val="1AF7297B"/>
    <w:rsid w:val="1AF95EFE"/>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3D0A7A"/>
    <w:rsid w:val="1C4032AB"/>
    <w:rsid w:val="1C4672ED"/>
    <w:rsid w:val="1C467AB6"/>
    <w:rsid w:val="1C591347"/>
    <w:rsid w:val="1C6277A9"/>
    <w:rsid w:val="1C750818"/>
    <w:rsid w:val="1C7F54CE"/>
    <w:rsid w:val="1C7F743F"/>
    <w:rsid w:val="1C8C4AA9"/>
    <w:rsid w:val="1C8C604B"/>
    <w:rsid w:val="1C8F53D9"/>
    <w:rsid w:val="1C92160B"/>
    <w:rsid w:val="1C973EEF"/>
    <w:rsid w:val="1C9B77F5"/>
    <w:rsid w:val="1C9F3B2C"/>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DEF316F"/>
    <w:rsid w:val="1E105A20"/>
    <w:rsid w:val="1E164B52"/>
    <w:rsid w:val="1E26583C"/>
    <w:rsid w:val="1E273844"/>
    <w:rsid w:val="1E2945B6"/>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B1886"/>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434D8"/>
    <w:rsid w:val="1FA628A2"/>
    <w:rsid w:val="1FA6556D"/>
    <w:rsid w:val="1FAF2571"/>
    <w:rsid w:val="1FB33036"/>
    <w:rsid w:val="1FC55EDA"/>
    <w:rsid w:val="1FC658C9"/>
    <w:rsid w:val="1FCA0687"/>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7E2A34"/>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D3C33"/>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48070E"/>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2A4D36"/>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AA1FD4"/>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1F523F"/>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7FA4C25"/>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577AAA"/>
    <w:rsid w:val="29623F1E"/>
    <w:rsid w:val="297161D3"/>
    <w:rsid w:val="2978319A"/>
    <w:rsid w:val="297D4BAB"/>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948BD"/>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B0506"/>
    <w:rsid w:val="2C9E5AC8"/>
    <w:rsid w:val="2CA05674"/>
    <w:rsid w:val="2CA2721B"/>
    <w:rsid w:val="2CAC6D87"/>
    <w:rsid w:val="2CB23B2C"/>
    <w:rsid w:val="2CB268EE"/>
    <w:rsid w:val="2CB600FC"/>
    <w:rsid w:val="2CBE6567"/>
    <w:rsid w:val="2CCB6E18"/>
    <w:rsid w:val="2CCF5C52"/>
    <w:rsid w:val="2CE01F07"/>
    <w:rsid w:val="2CE80ABF"/>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BC4231"/>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07393"/>
    <w:rsid w:val="2FA417BA"/>
    <w:rsid w:val="2FA6492D"/>
    <w:rsid w:val="2FC86676"/>
    <w:rsid w:val="2FD17A1B"/>
    <w:rsid w:val="2FD71CA4"/>
    <w:rsid w:val="2FDC432A"/>
    <w:rsid w:val="2FDC4A8D"/>
    <w:rsid w:val="2FDD73CC"/>
    <w:rsid w:val="2FE27109"/>
    <w:rsid w:val="2FEA743A"/>
    <w:rsid w:val="2FF24D11"/>
    <w:rsid w:val="2FF454B9"/>
    <w:rsid w:val="2FF93066"/>
    <w:rsid w:val="2FFF08B3"/>
    <w:rsid w:val="30114224"/>
    <w:rsid w:val="301742B2"/>
    <w:rsid w:val="301A1509"/>
    <w:rsid w:val="301A71CE"/>
    <w:rsid w:val="301D63DD"/>
    <w:rsid w:val="301E049B"/>
    <w:rsid w:val="302A4BE6"/>
    <w:rsid w:val="304478EC"/>
    <w:rsid w:val="304F4511"/>
    <w:rsid w:val="30515C8E"/>
    <w:rsid w:val="305823FF"/>
    <w:rsid w:val="30830761"/>
    <w:rsid w:val="30926F91"/>
    <w:rsid w:val="30962F3E"/>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95CA4"/>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A3506F"/>
    <w:rsid w:val="32B52836"/>
    <w:rsid w:val="32C33162"/>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16551"/>
    <w:rsid w:val="3364318B"/>
    <w:rsid w:val="33691888"/>
    <w:rsid w:val="336A499A"/>
    <w:rsid w:val="33714830"/>
    <w:rsid w:val="33737F51"/>
    <w:rsid w:val="3375654F"/>
    <w:rsid w:val="337964FF"/>
    <w:rsid w:val="337D34FB"/>
    <w:rsid w:val="337E2DAF"/>
    <w:rsid w:val="339C6DF8"/>
    <w:rsid w:val="33A47053"/>
    <w:rsid w:val="33AD5111"/>
    <w:rsid w:val="33BF4199"/>
    <w:rsid w:val="33CC3DCF"/>
    <w:rsid w:val="33CD23A8"/>
    <w:rsid w:val="33CD6498"/>
    <w:rsid w:val="33D7554F"/>
    <w:rsid w:val="33D825FA"/>
    <w:rsid w:val="33DB2AB1"/>
    <w:rsid w:val="33FE62E7"/>
    <w:rsid w:val="34042F5A"/>
    <w:rsid w:val="34080399"/>
    <w:rsid w:val="340D25F6"/>
    <w:rsid w:val="34161D6C"/>
    <w:rsid w:val="341E19AD"/>
    <w:rsid w:val="341F37C9"/>
    <w:rsid w:val="342763E9"/>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A917F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292624"/>
    <w:rsid w:val="35334752"/>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350CFE"/>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51D00"/>
    <w:rsid w:val="36D66B5E"/>
    <w:rsid w:val="36D86634"/>
    <w:rsid w:val="36DE4AF9"/>
    <w:rsid w:val="36E410A4"/>
    <w:rsid w:val="36E93760"/>
    <w:rsid w:val="36EE0289"/>
    <w:rsid w:val="36F4550C"/>
    <w:rsid w:val="36FB4305"/>
    <w:rsid w:val="3708597F"/>
    <w:rsid w:val="3709624C"/>
    <w:rsid w:val="37096815"/>
    <w:rsid w:val="370F7060"/>
    <w:rsid w:val="37134801"/>
    <w:rsid w:val="37173233"/>
    <w:rsid w:val="371C344E"/>
    <w:rsid w:val="37226558"/>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37462"/>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0043EB"/>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434C"/>
    <w:rsid w:val="3D31576C"/>
    <w:rsid w:val="3D316CDB"/>
    <w:rsid w:val="3D3373BD"/>
    <w:rsid w:val="3D362034"/>
    <w:rsid w:val="3D3768D2"/>
    <w:rsid w:val="3D3A3838"/>
    <w:rsid w:val="3D3D6BBD"/>
    <w:rsid w:val="3D404CC7"/>
    <w:rsid w:val="3D450F8C"/>
    <w:rsid w:val="3D477118"/>
    <w:rsid w:val="3D51285A"/>
    <w:rsid w:val="3D594E54"/>
    <w:rsid w:val="3D5E6151"/>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03339"/>
    <w:rsid w:val="3F035EE1"/>
    <w:rsid w:val="3F053EF6"/>
    <w:rsid w:val="3F093188"/>
    <w:rsid w:val="3F0C1E13"/>
    <w:rsid w:val="3F0E5706"/>
    <w:rsid w:val="3F173F6B"/>
    <w:rsid w:val="3F1E1DE8"/>
    <w:rsid w:val="3F253B0C"/>
    <w:rsid w:val="3F2853A7"/>
    <w:rsid w:val="3F2C04C4"/>
    <w:rsid w:val="3F3E7C9F"/>
    <w:rsid w:val="3F416B99"/>
    <w:rsid w:val="3F4F5AD7"/>
    <w:rsid w:val="3F5D489D"/>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A261A"/>
    <w:rsid w:val="3FFB0F66"/>
    <w:rsid w:val="40022F93"/>
    <w:rsid w:val="400E6DDA"/>
    <w:rsid w:val="40146E6B"/>
    <w:rsid w:val="40225B50"/>
    <w:rsid w:val="403052F1"/>
    <w:rsid w:val="40330D29"/>
    <w:rsid w:val="404469FD"/>
    <w:rsid w:val="404A2717"/>
    <w:rsid w:val="404E779F"/>
    <w:rsid w:val="4059090D"/>
    <w:rsid w:val="405C3F1A"/>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C11715"/>
    <w:rsid w:val="40C67EAC"/>
    <w:rsid w:val="40EC7D18"/>
    <w:rsid w:val="40ED11A0"/>
    <w:rsid w:val="40F92E97"/>
    <w:rsid w:val="40FD1BF0"/>
    <w:rsid w:val="41015E92"/>
    <w:rsid w:val="41096BC0"/>
    <w:rsid w:val="410A75B6"/>
    <w:rsid w:val="410B452A"/>
    <w:rsid w:val="41146D26"/>
    <w:rsid w:val="411B6EDC"/>
    <w:rsid w:val="413353F1"/>
    <w:rsid w:val="41464224"/>
    <w:rsid w:val="414C0B0E"/>
    <w:rsid w:val="414C1188"/>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113C7"/>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190A81"/>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D4DFD"/>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65AC2"/>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56AF2"/>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AC61EE"/>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6C6998"/>
    <w:rsid w:val="4F844A99"/>
    <w:rsid w:val="4F8F6520"/>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3547D"/>
    <w:rsid w:val="50BB6306"/>
    <w:rsid w:val="50C12EDC"/>
    <w:rsid w:val="50CD2E4B"/>
    <w:rsid w:val="50D8533B"/>
    <w:rsid w:val="50DA0A9E"/>
    <w:rsid w:val="50ED21B8"/>
    <w:rsid w:val="50F31CB9"/>
    <w:rsid w:val="50F66F3D"/>
    <w:rsid w:val="50F8688B"/>
    <w:rsid w:val="50FA27BD"/>
    <w:rsid w:val="50FC4E36"/>
    <w:rsid w:val="51002FFC"/>
    <w:rsid w:val="5105169B"/>
    <w:rsid w:val="51062881"/>
    <w:rsid w:val="510861B3"/>
    <w:rsid w:val="510956BD"/>
    <w:rsid w:val="5114696C"/>
    <w:rsid w:val="5121766A"/>
    <w:rsid w:val="51230220"/>
    <w:rsid w:val="513B53C3"/>
    <w:rsid w:val="513E7AC2"/>
    <w:rsid w:val="513F6CC6"/>
    <w:rsid w:val="51471753"/>
    <w:rsid w:val="514B6843"/>
    <w:rsid w:val="514D5642"/>
    <w:rsid w:val="514E4912"/>
    <w:rsid w:val="515400FF"/>
    <w:rsid w:val="515441FE"/>
    <w:rsid w:val="515B4E13"/>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7F2070"/>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C3F9F"/>
    <w:rsid w:val="53210238"/>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CD481C"/>
    <w:rsid w:val="53D5647F"/>
    <w:rsid w:val="53D6247A"/>
    <w:rsid w:val="53DB3477"/>
    <w:rsid w:val="53DE00FF"/>
    <w:rsid w:val="53E656AF"/>
    <w:rsid w:val="53E77CBF"/>
    <w:rsid w:val="53FE7128"/>
    <w:rsid w:val="54201800"/>
    <w:rsid w:val="54247F22"/>
    <w:rsid w:val="5427150F"/>
    <w:rsid w:val="542950DC"/>
    <w:rsid w:val="542B1B24"/>
    <w:rsid w:val="542B76D0"/>
    <w:rsid w:val="542C29CD"/>
    <w:rsid w:val="542F1551"/>
    <w:rsid w:val="54381756"/>
    <w:rsid w:val="545750B7"/>
    <w:rsid w:val="545A1EBF"/>
    <w:rsid w:val="545E39AA"/>
    <w:rsid w:val="54602EAD"/>
    <w:rsid w:val="5460437B"/>
    <w:rsid w:val="54727478"/>
    <w:rsid w:val="547D5FDD"/>
    <w:rsid w:val="54B06F11"/>
    <w:rsid w:val="54B56DF4"/>
    <w:rsid w:val="54B93943"/>
    <w:rsid w:val="54BE5578"/>
    <w:rsid w:val="54BF52B5"/>
    <w:rsid w:val="54D202CA"/>
    <w:rsid w:val="54D54E59"/>
    <w:rsid w:val="54DD41DB"/>
    <w:rsid w:val="54DE6BB8"/>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43675"/>
    <w:rsid w:val="57FC0156"/>
    <w:rsid w:val="57FC07D9"/>
    <w:rsid w:val="57FF6992"/>
    <w:rsid w:val="58036FF1"/>
    <w:rsid w:val="580F1B21"/>
    <w:rsid w:val="581B7E79"/>
    <w:rsid w:val="5837438C"/>
    <w:rsid w:val="58420FA1"/>
    <w:rsid w:val="58500F22"/>
    <w:rsid w:val="58587379"/>
    <w:rsid w:val="585D72B5"/>
    <w:rsid w:val="58630C53"/>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2777B4"/>
    <w:rsid w:val="593559FD"/>
    <w:rsid w:val="593A4D15"/>
    <w:rsid w:val="594079B2"/>
    <w:rsid w:val="595B45EE"/>
    <w:rsid w:val="595C4A81"/>
    <w:rsid w:val="596A688E"/>
    <w:rsid w:val="5972466D"/>
    <w:rsid w:val="59860400"/>
    <w:rsid w:val="5987482A"/>
    <w:rsid w:val="598A58C2"/>
    <w:rsid w:val="598C6F19"/>
    <w:rsid w:val="59952B9F"/>
    <w:rsid w:val="599C49A8"/>
    <w:rsid w:val="59A252D5"/>
    <w:rsid w:val="59A36725"/>
    <w:rsid w:val="59AD4E2E"/>
    <w:rsid w:val="59B14918"/>
    <w:rsid w:val="59B21BF9"/>
    <w:rsid w:val="59B37D53"/>
    <w:rsid w:val="59B80C41"/>
    <w:rsid w:val="59BB4EA3"/>
    <w:rsid w:val="59C10A96"/>
    <w:rsid w:val="59E9525B"/>
    <w:rsid w:val="59F70BAF"/>
    <w:rsid w:val="5A0627A6"/>
    <w:rsid w:val="5A297D0D"/>
    <w:rsid w:val="5A3C0F08"/>
    <w:rsid w:val="5A3E5B83"/>
    <w:rsid w:val="5A50588C"/>
    <w:rsid w:val="5A5663A3"/>
    <w:rsid w:val="5A5706C7"/>
    <w:rsid w:val="5A571746"/>
    <w:rsid w:val="5A594793"/>
    <w:rsid w:val="5A5B6E89"/>
    <w:rsid w:val="5A6253E3"/>
    <w:rsid w:val="5A641DE9"/>
    <w:rsid w:val="5A6D1F1E"/>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12B4"/>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9359C1"/>
    <w:rsid w:val="5CA6294E"/>
    <w:rsid w:val="5CCC1DEC"/>
    <w:rsid w:val="5CDB3358"/>
    <w:rsid w:val="5CED4E0C"/>
    <w:rsid w:val="5CEE1DD1"/>
    <w:rsid w:val="5CEF566F"/>
    <w:rsid w:val="5CFB31F2"/>
    <w:rsid w:val="5CFF09AB"/>
    <w:rsid w:val="5D034EE9"/>
    <w:rsid w:val="5D0366E8"/>
    <w:rsid w:val="5D08684C"/>
    <w:rsid w:val="5D0A06B6"/>
    <w:rsid w:val="5D1307E8"/>
    <w:rsid w:val="5D212A05"/>
    <w:rsid w:val="5D28584C"/>
    <w:rsid w:val="5D2E7729"/>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A93636"/>
    <w:rsid w:val="5DB765B6"/>
    <w:rsid w:val="5DC848B4"/>
    <w:rsid w:val="5DD14397"/>
    <w:rsid w:val="5DD3123F"/>
    <w:rsid w:val="5DD45E00"/>
    <w:rsid w:val="5DD564E5"/>
    <w:rsid w:val="5DD71C7A"/>
    <w:rsid w:val="5DD734EC"/>
    <w:rsid w:val="5DDA4F5F"/>
    <w:rsid w:val="5DDF6E6E"/>
    <w:rsid w:val="5DEC05A1"/>
    <w:rsid w:val="5DEE0433"/>
    <w:rsid w:val="5DEE2993"/>
    <w:rsid w:val="5DFD51DB"/>
    <w:rsid w:val="5E0B017F"/>
    <w:rsid w:val="5E0B0848"/>
    <w:rsid w:val="5E1D4A67"/>
    <w:rsid w:val="5E1F2E4C"/>
    <w:rsid w:val="5E237029"/>
    <w:rsid w:val="5E3358BB"/>
    <w:rsid w:val="5E3A3BD1"/>
    <w:rsid w:val="5E3E6E2C"/>
    <w:rsid w:val="5E410C7C"/>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75272C"/>
    <w:rsid w:val="5F875C0C"/>
    <w:rsid w:val="5F89013A"/>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5FFF04A2"/>
    <w:rsid w:val="60060CD5"/>
    <w:rsid w:val="60085AA3"/>
    <w:rsid w:val="600E362B"/>
    <w:rsid w:val="60183392"/>
    <w:rsid w:val="601A4CB1"/>
    <w:rsid w:val="601B56CB"/>
    <w:rsid w:val="60237FFC"/>
    <w:rsid w:val="602C236D"/>
    <w:rsid w:val="603114E4"/>
    <w:rsid w:val="603967D7"/>
    <w:rsid w:val="603D3325"/>
    <w:rsid w:val="604040A8"/>
    <w:rsid w:val="604233CA"/>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0EE387C"/>
    <w:rsid w:val="61110088"/>
    <w:rsid w:val="611647A0"/>
    <w:rsid w:val="613F2524"/>
    <w:rsid w:val="61421EFD"/>
    <w:rsid w:val="614F6F7E"/>
    <w:rsid w:val="615304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60CE1"/>
    <w:rsid w:val="629718F1"/>
    <w:rsid w:val="62A05735"/>
    <w:rsid w:val="62A411F8"/>
    <w:rsid w:val="62A81A26"/>
    <w:rsid w:val="62B0109F"/>
    <w:rsid w:val="62BA7A46"/>
    <w:rsid w:val="62C17689"/>
    <w:rsid w:val="62C376AC"/>
    <w:rsid w:val="62CE13CB"/>
    <w:rsid w:val="62D2197B"/>
    <w:rsid w:val="62DB028F"/>
    <w:rsid w:val="62EE4623"/>
    <w:rsid w:val="62F214BD"/>
    <w:rsid w:val="62F6011A"/>
    <w:rsid w:val="62FD2BA9"/>
    <w:rsid w:val="6314586E"/>
    <w:rsid w:val="6327422B"/>
    <w:rsid w:val="6328597C"/>
    <w:rsid w:val="6331344C"/>
    <w:rsid w:val="633B249F"/>
    <w:rsid w:val="633D1842"/>
    <w:rsid w:val="635123F0"/>
    <w:rsid w:val="63552D76"/>
    <w:rsid w:val="6359778B"/>
    <w:rsid w:val="635B63E3"/>
    <w:rsid w:val="63677698"/>
    <w:rsid w:val="63771D13"/>
    <w:rsid w:val="638C3395"/>
    <w:rsid w:val="63B37325"/>
    <w:rsid w:val="63B811CF"/>
    <w:rsid w:val="63B82D87"/>
    <w:rsid w:val="63BA3154"/>
    <w:rsid w:val="63C509F9"/>
    <w:rsid w:val="63CA2E8B"/>
    <w:rsid w:val="63CF097D"/>
    <w:rsid w:val="63D4153E"/>
    <w:rsid w:val="63DA0FA3"/>
    <w:rsid w:val="63DC7755"/>
    <w:rsid w:val="63E43D21"/>
    <w:rsid w:val="63E774B3"/>
    <w:rsid w:val="63F24AD5"/>
    <w:rsid w:val="63F47D2A"/>
    <w:rsid w:val="63F6335E"/>
    <w:rsid w:val="63FE2D33"/>
    <w:rsid w:val="64046427"/>
    <w:rsid w:val="640B5788"/>
    <w:rsid w:val="642369FC"/>
    <w:rsid w:val="64254882"/>
    <w:rsid w:val="64264A79"/>
    <w:rsid w:val="642A38B2"/>
    <w:rsid w:val="64304E58"/>
    <w:rsid w:val="64311867"/>
    <w:rsid w:val="64391ED3"/>
    <w:rsid w:val="6445632E"/>
    <w:rsid w:val="644E1102"/>
    <w:rsid w:val="64566F9D"/>
    <w:rsid w:val="64596CB3"/>
    <w:rsid w:val="64742B63"/>
    <w:rsid w:val="647949B0"/>
    <w:rsid w:val="647E661E"/>
    <w:rsid w:val="648939AA"/>
    <w:rsid w:val="648C635C"/>
    <w:rsid w:val="64941876"/>
    <w:rsid w:val="649B1AC2"/>
    <w:rsid w:val="649B4C1C"/>
    <w:rsid w:val="64A7467B"/>
    <w:rsid w:val="64B53322"/>
    <w:rsid w:val="64C41B57"/>
    <w:rsid w:val="64C4255D"/>
    <w:rsid w:val="64C61AF8"/>
    <w:rsid w:val="64C86505"/>
    <w:rsid w:val="64E65F95"/>
    <w:rsid w:val="64EB5728"/>
    <w:rsid w:val="64FA211B"/>
    <w:rsid w:val="64FB4412"/>
    <w:rsid w:val="64FE700F"/>
    <w:rsid w:val="6500327F"/>
    <w:rsid w:val="6503698F"/>
    <w:rsid w:val="6506609B"/>
    <w:rsid w:val="65083216"/>
    <w:rsid w:val="650A57D3"/>
    <w:rsid w:val="651C29CA"/>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12E2"/>
    <w:rsid w:val="66065483"/>
    <w:rsid w:val="6609487E"/>
    <w:rsid w:val="661D25CE"/>
    <w:rsid w:val="66206CF2"/>
    <w:rsid w:val="66265846"/>
    <w:rsid w:val="66287C9C"/>
    <w:rsid w:val="662E4097"/>
    <w:rsid w:val="664805B8"/>
    <w:rsid w:val="665572E9"/>
    <w:rsid w:val="665B14BD"/>
    <w:rsid w:val="665B55EA"/>
    <w:rsid w:val="66641D58"/>
    <w:rsid w:val="66655F85"/>
    <w:rsid w:val="667C62AE"/>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6F33197"/>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2F2D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700F7"/>
    <w:rsid w:val="695D6B21"/>
    <w:rsid w:val="69611EE7"/>
    <w:rsid w:val="69621F5B"/>
    <w:rsid w:val="696C708E"/>
    <w:rsid w:val="696F4D5D"/>
    <w:rsid w:val="69850877"/>
    <w:rsid w:val="698C13C5"/>
    <w:rsid w:val="69C12919"/>
    <w:rsid w:val="69C71624"/>
    <w:rsid w:val="69D77250"/>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964E9"/>
    <w:rsid w:val="6A5B28ED"/>
    <w:rsid w:val="6A677080"/>
    <w:rsid w:val="6A711183"/>
    <w:rsid w:val="6A720BCF"/>
    <w:rsid w:val="6A7B4B9C"/>
    <w:rsid w:val="6AAE7116"/>
    <w:rsid w:val="6AAF014C"/>
    <w:rsid w:val="6ABD60AB"/>
    <w:rsid w:val="6AC07690"/>
    <w:rsid w:val="6ACB082B"/>
    <w:rsid w:val="6ACD3503"/>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D78C3"/>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0EBE"/>
    <w:rsid w:val="6CC13ACE"/>
    <w:rsid w:val="6CD63FB3"/>
    <w:rsid w:val="6CD73CDB"/>
    <w:rsid w:val="6CD91323"/>
    <w:rsid w:val="6CE96238"/>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65A2C"/>
    <w:rsid w:val="6EFC09B9"/>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2F5C25"/>
    <w:rsid w:val="7032079E"/>
    <w:rsid w:val="703C186A"/>
    <w:rsid w:val="70473C04"/>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8039D"/>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E1121"/>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DE5EB2"/>
    <w:rsid w:val="73E406FD"/>
    <w:rsid w:val="73E52294"/>
    <w:rsid w:val="73EC5464"/>
    <w:rsid w:val="73FF2D64"/>
    <w:rsid w:val="74137154"/>
    <w:rsid w:val="741819AA"/>
    <w:rsid w:val="7421310D"/>
    <w:rsid w:val="74225DD4"/>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155C3"/>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073FA"/>
    <w:rsid w:val="77240552"/>
    <w:rsid w:val="77272CAB"/>
    <w:rsid w:val="772B4341"/>
    <w:rsid w:val="7731599F"/>
    <w:rsid w:val="77316C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AE1F54"/>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25D57"/>
    <w:rsid w:val="7B440ED6"/>
    <w:rsid w:val="7B4678D7"/>
    <w:rsid w:val="7B4B2A93"/>
    <w:rsid w:val="7B516F3E"/>
    <w:rsid w:val="7B527515"/>
    <w:rsid w:val="7B6B78AB"/>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932C9"/>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1E1821"/>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0040"/>
    <w:rsid w:val="7F725E7C"/>
    <w:rsid w:val="7F761ADC"/>
    <w:rsid w:val="7F7D7A8E"/>
    <w:rsid w:val="7F872588"/>
    <w:rsid w:val="7F8725BA"/>
    <w:rsid w:val="7F8C6A8F"/>
    <w:rsid w:val="7F994DB5"/>
    <w:rsid w:val="7F9C175D"/>
    <w:rsid w:val="7F9F773D"/>
    <w:rsid w:val="7FA85877"/>
    <w:rsid w:val="7FAB3A81"/>
    <w:rsid w:val="7FB37FEF"/>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5"/>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2025-11-07T08:21:24Z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3E04470C1B714ED19A9281DDAEA1F36D</vt:lpwstr>
  </property>
</Properties>
</file>